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E5" w:rsidRPr="00623C2F" w:rsidRDefault="009142E5" w:rsidP="00FF00CA">
      <w:pPr>
        <w:pStyle w:val="CommentText"/>
        <w:tabs>
          <w:tab w:val="left" w:pos="993"/>
        </w:tabs>
        <w:jc w:val="center"/>
        <w:rPr>
          <w:b/>
          <w:noProof/>
          <w:sz w:val="24"/>
          <w:szCs w:val="24"/>
          <w:u w:val="single"/>
          <w:lang w:val="en-US"/>
        </w:rPr>
      </w:pPr>
      <w:bookmarkStart w:id="0" w:name="_GoBack"/>
      <w:bookmarkEnd w:id="0"/>
    </w:p>
    <w:p w:rsidR="009142E5" w:rsidRDefault="009D6722" w:rsidP="0091176F">
      <w:pPr>
        <w:tabs>
          <w:tab w:val="left" w:pos="2160"/>
        </w:tabs>
      </w:pPr>
      <w:r>
        <w:rPr>
          <w:noProof/>
          <w:lang w:eastAsia="en-GB"/>
        </w:rPr>
        <mc:AlternateContent>
          <mc:Choice Requires="wps">
            <w:drawing>
              <wp:anchor distT="0" distB="0" distL="114300" distR="114300" simplePos="0" relativeHeight="251657728" behindDoc="1" locked="0" layoutInCell="1" allowOverlap="1" wp14:anchorId="6CE31387" wp14:editId="5E7119C7">
                <wp:simplePos x="0" y="0"/>
                <wp:positionH relativeFrom="column">
                  <wp:posOffset>4219575</wp:posOffset>
                </wp:positionH>
                <wp:positionV relativeFrom="paragraph">
                  <wp:posOffset>11430</wp:posOffset>
                </wp:positionV>
                <wp:extent cx="1121410" cy="1350010"/>
                <wp:effectExtent l="0" t="1905" r="2540" b="635"/>
                <wp:wrapTight wrapText="bothSides">
                  <wp:wrapPolygon edited="0">
                    <wp:start x="-183" y="0"/>
                    <wp:lineTo x="-183" y="21448"/>
                    <wp:lineTo x="21600" y="21448"/>
                    <wp:lineTo x="21600" y="0"/>
                    <wp:lineTo x="-18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500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1176F" w:rsidRDefault="009D6722">
                            <w:r>
                              <w:rPr>
                                <w:noProof/>
                                <w:lang w:eastAsia="en-GB"/>
                              </w:rPr>
                              <w:drawing>
                                <wp:inline distT="0" distB="0" distL="0" distR="0" wp14:anchorId="479F815D" wp14:editId="4D32AF77">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9pt;width:88.3pt;height:106.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JDfQIAAA0FAAAOAAAAZHJzL2Uyb0RvYy54bWysVFtv2yAUfp+0/4B4T32p28ZWnKqXeZrU&#10;XaR2P4AAjtEwMCCxu2r/fQecpOku0jTND5jDOXzn9h0Wl2Mv0ZZbJ7SqcXaSYsQV1UyodY0/PzSz&#10;OUbOE8WI1IrX+JE7fLl8/WoxmIrnutOScYsARLlqMDXuvDdVkjja8Z64E224AmWrbU88iHadMEsG&#10;QO9lkqfpeTJoy4zVlDsHp7eTEi8jftty6j+2reMeyRpDbD6uNq6rsCbLBanWlphO0F0Y5B+i6IlQ&#10;4PQAdUs8QRsrfoHqBbXa6dafUN0num0F5TEHyCZLf8rmviOGx1ygOM4cyuT+Hyz9sP1kkWA1PsVI&#10;kR5a9MBHj671iPJQncG4CozuDZj5EY6hyzFTZ+40/eKQ0jcdUWt+Za0eOk4YRJeFm8nR1QnHBZDV&#10;8F4zcEM2XkegsbV9KB0UAwE6dOnx0JkQCg0uszwrMlBR0GWnZykUK/og1f66sc6/5bpHYVNjC62P&#10;8GR753wIh1R7k+DNaSlYI6SMgl2vbqRFWwI0aeK3Q39hJlUwVjpcmxCnE4gSfARdiDe2/anM8iK9&#10;zstZcz6/mBVNcTYrL9L5LM3K6/I8LcritvkeAsyKqhOMcXUnFN9TMCv+rsW7YZjIE0mIhlC8mNQf&#10;M0zj97sMe+FhHKXoazw/GJEqtPWNYpAzqTwRctonL2OPJYYC7P+xJJEEoe8TA/y4GgElMGOl2SPQ&#10;wWpoFjQW3hDYdNp+w2iAeayx+7ohlmMk3ymgVJkVRRjgKBRnFzkI9lizOtYQRQGqxh6jaXvjp6Hf&#10;GCvWHXjak/gKaNiISJDnqHbkhZmLyezehzDUx3K0en7Flj8AAAD//wMAUEsDBBQABgAIAAAAIQCj&#10;TNDx3gAAAAkBAAAPAAAAZHJzL2Rvd25yZXYueG1sTI9NS8QwFEX3gv8hPMGdk3aopdSmgwgKZVZ2&#10;VFymzbMpk4/aZKbVX+9zpcvHudx3brVbrWFnnMPonYB0kwBD13s1ukHAy+HxpgAWonRKGu9QwBcG&#10;2NWXF5UslV/cM57bODAqcaGUAnSMU8l56DVaGTZ+Qkfsw89WRjrngatZLlRuDd8mSc6tHB190HLC&#10;B439sT1ZAYfXxjwd17fvJn7um7ZYunfUeyGur9b7O2AR1/gXhl99UoeanDp/ciowIyDPs1uKEqAF&#10;xIssTYF1ArZplgGvK/5/Qf0DAAD//wMAUEsBAi0AFAAGAAgAAAAhALaDOJL+AAAA4QEAABMAAAAA&#10;AAAAAAAAAAAAAAAAAFtDb250ZW50X1R5cGVzXS54bWxQSwECLQAUAAYACAAAACEAOP0h/9YAAACU&#10;AQAACwAAAAAAAAAAAAAAAAAvAQAAX3JlbHMvLnJlbHNQSwECLQAUAAYACAAAACEAvT1CQ30CAAAN&#10;BQAADgAAAAAAAAAAAAAAAAAuAgAAZHJzL2Uyb0RvYy54bWxQSwECLQAUAAYACAAAACEAo0zQ8d4A&#10;AAAJAQAADwAAAAAAAAAAAAAAAADXBAAAZHJzL2Rvd25yZXYueG1sUEsFBgAAAAAEAAQA8wAAAOIF&#10;AAAAAA==&#10;" stroked="f" strokeweight="0">
                <v:textbox style="mso-fit-shape-to-text:t">
                  <w:txbxContent>
                    <w:p w:rsidR="0091176F" w:rsidRDefault="009D6722">
                      <w:r>
                        <w:rPr>
                          <w:noProof/>
                          <w:lang w:eastAsia="en-GB"/>
                        </w:rPr>
                        <w:drawing>
                          <wp:inline distT="0" distB="0" distL="0" distR="0">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v:textbox>
                <w10:wrap type="tight"/>
              </v:shape>
            </w:pict>
          </mc:Fallback>
        </mc:AlternateContent>
      </w: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Pr="009142E5" w:rsidRDefault="0091176F" w:rsidP="0091176F">
      <w:pPr>
        <w:tabs>
          <w:tab w:val="left" w:pos="2160"/>
        </w:tabs>
        <w:jc w:val="right"/>
        <w:rPr>
          <w:rFonts w:cs="Arial"/>
          <w:bCs/>
        </w:rPr>
      </w:pPr>
    </w:p>
    <w:p w:rsidR="009142E5" w:rsidRPr="0091176F" w:rsidRDefault="009142E5" w:rsidP="005D4C4D">
      <w:pPr>
        <w:tabs>
          <w:tab w:val="left" w:pos="2160"/>
        </w:tabs>
        <w:rPr>
          <w:rFonts w:cs="Arial"/>
          <w:b/>
          <w:bCs/>
          <w:u w:val="single"/>
        </w:rPr>
      </w:pPr>
    </w:p>
    <w:p w:rsidR="009142E5" w:rsidRPr="009142E5" w:rsidRDefault="009142E5" w:rsidP="005D4C4D">
      <w:pPr>
        <w:tabs>
          <w:tab w:val="left" w:pos="2160"/>
        </w:tabs>
        <w:rPr>
          <w:rFonts w:cs="Arial"/>
          <w:bCs/>
        </w:rPr>
      </w:pPr>
    </w:p>
    <w:p w:rsidR="005D4C4D" w:rsidRDefault="005D4C4D" w:rsidP="005D4C4D">
      <w:pPr>
        <w:tabs>
          <w:tab w:val="left" w:pos="2160"/>
        </w:tabs>
        <w:rPr>
          <w:rFonts w:cs="Arial"/>
          <w:b/>
          <w:bCs/>
        </w:rPr>
      </w:pPr>
      <w:r>
        <w:rPr>
          <w:rFonts w:cs="Arial"/>
          <w:b/>
          <w:bCs/>
        </w:rPr>
        <w:t xml:space="preserve">To: </w:t>
      </w:r>
      <w:r>
        <w:rPr>
          <w:rFonts w:cs="Arial"/>
          <w:b/>
          <w:bCs/>
        </w:rPr>
        <w:tab/>
      </w:r>
      <w:r w:rsidR="00AE12E9">
        <w:rPr>
          <w:rFonts w:cs="Arial"/>
          <w:b/>
          <w:bCs/>
        </w:rPr>
        <w:t>City Executive Board</w:t>
      </w:r>
    </w:p>
    <w:p w:rsidR="00212B06" w:rsidRDefault="00212B06" w:rsidP="005D4C4D">
      <w:pPr>
        <w:tabs>
          <w:tab w:val="left" w:pos="2160"/>
        </w:tabs>
        <w:rPr>
          <w:rFonts w:cs="Arial"/>
          <w:b/>
          <w:bCs/>
        </w:rPr>
      </w:pPr>
      <w:r>
        <w:rPr>
          <w:rFonts w:cs="Arial"/>
          <w:b/>
          <w:bCs/>
        </w:rPr>
        <w:tab/>
      </w:r>
    </w:p>
    <w:p w:rsidR="005D4C4D" w:rsidRDefault="005D4C4D" w:rsidP="005D4C4D">
      <w:pPr>
        <w:rPr>
          <w:rFonts w:cs="Arial"/>
          <w:b/>
          <w:bCs/>
        </w:rPr>
      </w:pPr>
    </w:p>
    <w:p w:rsidR="00E21EE8" w:rsidRDefault="005D4C4D" w:rsidP="005D4C4D">
      <w:pPr>
        <w:tabs>
          <w:tab w:val="left" w:pos="2160"/>
          <w:tab w:val="left" w:pos="6300"/>
          <w:tab w:val="left" w:pos="7380"/>
        </w:tabs>
        <w:rPr>
          <w:rFonts w:cs="Arial"/>
          <w:b/>
          <w:bCs/>
        </w:rPr>
      </w:pPr>
      <w:r>
        <w:rPr>
          <w:rFonts w:cs="Arial"/>
          <w:b/>
          <w:bCs/>
        </w:rPr>
        <w:t>Date:</w:t>
      </w:r>
      <w:r>
        <w:rPr>
          <w:rFonts w:cs="Arial"/>
          <w:b/>
          <w:bCs/>
        </w:rPr>
        <w:tab/>
      </w:r>
      <w:r w:rsidR="003C6BE6">
        <w:rPr>
          <w:rFonts w:cs="Arial"/>
          <w:b/>
          <w:bCs/>
        </w:rPr>
        <w:t>17</w:t>
      </w:r>
      <w:r w:rsidR="00AA7C75">
        <w:rPr>
          <w:rFonts w:cs="Arial"/>
          <w:b/>
          <w:bCs/>
        </w:rPr>
        <w:t xml:space="preserve"> </w:t>
      </w:r>
      <w:r w:rsidR="003C6BE6">
        <w:rPr>
          <w:rFonts w:cs="Arial"/>
          <w:b/>
          <w:bCs/>
        </w:rPr>
        <w:t>Dec</w:t>
      </w:r>
      <w:r w:rsidR="00006806">
        <w:rPr>
          <w:rFonts w:cs="Arial"/>
          <w:b/>
          <w:bCs/>
        </w:rPr>
        <w:t>ember</w:t>
      </w:r>
      <w:r w:rsidR="00EE5600">
        <w:rPr>
          <w:rFonts w:cs="Arial"/>
          <w:b/>
          <w:bCs/>
        </w:rPr>
        <w:t xml:space="preserve"> 2015</w:t>
      </w:r>
      <w:r>
        <w:rPr>
          <w:rFonts w:cs="Arial"/>
          <w:b/>
          <w:bCs/>
        </w:rPr>
        <w:tab/>
      </w:r>
    </w:p>
    <w:p w:rsidR="00212B06" w:rsidRDefault="00212B06" w:rsidP="005D4C4D">
      <w:pPr>
        <w:tabs>
          <w:tab w:val="left" w:pos="2160"/>
          <w:tab w:val="left" w:pos="6300"/>
          <w:tab w:val="left" w:pos="7380"/>
        </w:tabs>
        <w:rPr>
          <w:rFonts w:cs="Arial"/>
          <w:b/>
          <w:bCs/>
        </w:rPr>
      </w:pPr>
      <w:r>
        <w:rPr>
          <w:rFonts w:cs="Arial"/>
          <w:b/>
          <w:bCs/>
        </w:rPr>
        <w:tab/>
      </w:r>
    </w:p>
    <w:p w:rsidR="005D4C4D" w:rsidRDefault="005D4C4D" w:rsidP="005D4C4D">
      <w:pPr>
        <w:jc w:val="right"/>
        <w:rPr>
          <w:rFonts w:cs="Arial"/>
          <w:b/>
          <w:bCs/>
        </w:rPr>
      </w:pPr>
    </w:p>
    <w:p w:rsidR="005D4C4D" w:rsidRDefault="005D4C4D" w:rsidP="005D4C4D">
      <w:pPr>
        <w:rPr>
          <w:rFonts w:cs="Arial"/>
          <w:b/>
          <w:bCs/>
        </w:rPr>
      </w:pPr>
      <w:r>
        <w:rPr>
          <w:rFonts w:cs="Arial"/>
          <w:b/>
          <w:bCs/>
        </w:rPr>
        <w:t>Report of:</w:t>
      </w:r>
      <w:r>
        <w:rPr>
          <w:rFonts w:cs="Arial"/>
          <w:b/>
          <w:bCs/>
        </w:rPr>
        <w:tab/>
      </w:r>
      <w:r>
        <w:rPr>
          <w:rFonts w:cs="Arial"/>
          <w:b/>
          <w:bCs/>
        </w:rPr>
        <w:tab/>
        <w:t>Head of Financ</w:t>
      </w:r>
      <w:r w:rsidR="00AF7455">
        <w:rPr>
          <w:rFonts w:cs="Arial"/>
          <w:b/>
          <w:bCs/>
        </w:rPr>
        <w:t>ial Services</w:t>
      </w:r>
    </w:p>
    <w:p w:rsidR="00533B94" w:rsidRDefault="00533B94" w:rsidP="005D4C4D">
      <w:pPr>
        <w:rPr>
          <w:rFonts w:cs="Arial"/>
          <w:b/>
          <w:bCs/>
        </w:rPr>
      </w:pPr>
      <w:r>
        <w:rPr>
          <w:rFonts w:cs="Arial"/>
          <w:b/>
          <w:bCs/>
        </w:rPr>
        <w:tab/>
      </w:r>
      <w:r>
        <w:rPr>
          <w:rFonts w:cs="Arial"/>
          <w:b/>
          <w:bCs/>
        </w:rPr>
        <w:tab/>
      </w:r>
      <w:r>
        <w:rPr>
          <w:rFonts w:cs="Arial"/>
          <w:b/>
          <w:bCs/>
        </w:rPr>
        <w:tab/>
        <w:t>Head of Business Improvement</w:t>
      </w:r>
    </w:p>
    <w:p w:rsidR="005D4C4D" w:rsidRDefault="005D4C4D" w:rsidP="005D4C4D">
      <w:pPr>
        <w:tabs>
          <w:tab w:val="left" w:pos="2160"/>
        </w:tabs>
        <w:rPr>
          <w:rFonts w:cs="Arial"/>
          <w:b/>
          <w:bCs/>
        </w:rPr>
      </w:pPr>
    </w:p>
    <w:p w:rsidR="005D4C4D" w:rsidRDefault="005D4C4D" w:rsidP="003B022E">
      <w:pPr>
        <w:tabs>
          <w:tab w:val="left" w:pos="2160"/>
        </w:tabs>
        <w:ind w:left="2160" w:hanging="2160"/>
        <w:rPr>
          <w:rFonts w:cs="Arial"/>
          <w:b/>
          <w:bCs/>
        </w:rPr>
      </w:pPr>
      <w:r>
        <w:rPr>
          <w:rFonts w:cs="Arial"/>
          <w:b/>
          <w:bCs/>
        </w:rPr>
        <w:t xml:space="preserve">Title of Report: </w:t>
      </w:r>
      <w:r>
        <w:rPr>
          <w:rFonts w:cs="Arial"/>
          <w:b/>
          <w:bCs/>
        </w:rPr>
        <w:tab/>
      </w:r>
      <w:r w:rsidR="004331BA">
        <w:rPr>
          <w:rFonts w:cs="Arial"/>
          <w:b/>
          <w:bCs/>
        </w:rPr>
        <w:t>I</w:t>
      </w:r>
      <w:r w:rsidR="009117BC">
        <w:rPr>
          <w:rFonts w:cs="Arial"/>
          <w:b/>
          <w:bCs/>
        </w:rPr>
        <w:t xml:space="preserve">ntegrated </w:t>
      </w:r>
      <w:r w:rsidR="004D67CD">
        <w:rPr>
          <w:rFonts w:cs="Arial"/>
          <w:b/>
          <w:bCs/>
        </w:rPr>
        <w:t>P</w:t>
      </w:r>
      <w:r w:rsidR="009117BC">
        <w:rPr>
          <w:rFonts w:cs="Arial"/>
          <w:b/>
          <w:bCs/>
        </w:rPr>
        <w:t>erformance</w:t>
      </w:r>
      <w:r w:rsidR="004D67CD">
        <w:rPr>
          <w:rFonts w:cs="Arial"/>
          <w:b/>
          <w:bCs/>
        </w:rPr>
        <w:t xml:space="preserve"> R</w:t>
      </w:r>
      <w:r w:rsidR="009117BC">
        <w:rPr>
          <w:rFonts w:cs="Arial"/>
          <w:b/>
          <w:bCs/>
        </w:rPr>
        <w:t>eport</w:t>
      </w:r>
      <w:r w:rsidR="004D67CD">
        <w:rPr>
          <w:rFonts w:cs="Arial"/>
          <w:b/>
          <w:bCs/>
        </w:rPr>
        <w:t xml:space="preserve"> </w:t>
      </w:r>
      <w:r w:rsidR="009117BC">
        <w:rPr>
          <w:rFonts w:cs="Arial"/>
          <w:b/>
          <w:bCs/>
        </w:rPr>
        <w:t>for quarter</w:t>
      </w:r>
      <w:r w:rsidR="00AF08EC">
        <w:rPr>
          <w:rFonts w:cs="Arial"/>
          <w:b/>
          <w:bCs/>
        </w:rPr>
        <w:t xml:space="preserve"> </w:t>
      </w:r>
      <w:r w:rsidR="003C6BE6">
        <w:rPr>
          <w:rFonts w:cs="Arial"/>
          <w:b/>
          <w:bCs/>
        </w:rPr>
        <w:t>2</w:t>
      </w:r>
      <w:r w:rsidR="004331BA">
        <w:rPr>
          <w:rFonts w:cs="Arial"/>
          <w:b/>
          <w:bCs/>
        </w:rPr>
        <w:t xml:space="preserve"> </w:t>
      </w:r>
      <w:r w:rsidR="009E34F6">
        <w:rPr>
          <w:rFonts w:cs="Arial"/>
          <w:b/>
          <w:bCs/>
        </w:rPr>
        <w:t>201</w:t>
      </w:r>
      <w:r w:rsidR="00AF7455">
        <w:rPr>
          <w:rFonts w:cs="Arial"/>
          <w:b/>
          <w:bCs/>
        </w:rPr>
        <w:t>5</w:t>
      </w:r>
      <w:r w:rsidR="005F174D">
        <w:rPr>
          <w:rFonts w:cs="Arial"/>
          <w:b/>
          <w:bCs/>
        </w:rPr>
        <w:t>/</w:t>
      </w:r>
      <w:r w:rsidR="009E34F6">
        <w:rPr>
          <w:rFonts w:cs="Arial"/>
          <w:b/>
          <w:bCs/>
        </w:rPr>
        <w:t>201</w:t>
      </w:r>
      <w:r w:rsidR="00AF7455">
        <w:rPr>
          <w:rFonts w:cs="Arial"/>
          <w:b/>
          <w:bCs/>
        </w:rPr>
        <w:t>6</w:t>
      </w:r>
    </w:p>
    <w:p w:rsidR="005D4C4D" w:rsidRDefault="005D4C4D" w:rsidP="005D4C4D">
      <w:pPr>
        <w:rPr>
          <w:rFonts w:cs="Arial"/>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1D1A03" w:rsidRDefault="005D4C4D" w:rsidP="005D4C4D">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sidR="001D1A03">
        <w:rPr>
          <w:rFonts w:cs="Arial"/>
        </w:rPr>
        <w:t xml:space="preserve">:  To </w:t>
      </w:r>
      <w:r w:rsidR="00527607">
        <w:rPr>
          <w:rFonts w:cs="Arial"/>
        </w:rPr>
        <w:t xml:space="preserve">update </w:t>
      </w:r>
      <w:r w:rsidR="00413E26">
        <w:rPr>
          <w:rFonts w:cs="Arial"/>
        </w:rPr>
        <w:t>M</w:t>
      </w:r>
      <w:r w:rsidR="00AE12E9">
        <w:rPr>
          <w:rFonts w:cs="Arial"/>
        </w:rPr>
        <w:t>embers</w:t>
      </w:r>
      <w:r w:rsidR="00527607">
        <w:rPr>
          <w:rFonts w:cs="Arial"/>
        </w:rPr>
        <w:t xml:space="preserve"> on </w:t>
      </w:r>
      <w:r w:rsidR="004331BA">
        <w:rPr>
          <w:rFonts w:cs="Arial"/>
        </w:rPr>
        <w:t>Finance, Risk and Performance</w:t>
      </w:r>
      <w:r w:rsidR="009E34F6">
        <w:rPr>
          <w:rFonts w:cs="Arial"/>
        </w:rPr>
        <w:t xml:space="preserve"> as at the end of </w:t>
      </w:r>
      <w:r w:rsidR="00687F6F">
        <w:rPr>
          <w:rFonts w:cs="Arial"/>
        </w:rPr>
        <w:t>Q</w:t>
      </w:r>
      <w:r w:rsidR="009E34F6">
        <w:rPr>
          <w:rFonts w:cs="Arial"/>
        </w:rPr>
        <w:t xml:space="preserve">uarter </w:t>
      </w:r>
      <w:r w:rsidR="003C6BE6">
        <w:rPr>
          <w:rFonts w:cs="Arial"/>
        </w:rPr>
        <w:t>2</w:t>
      </w:r>
      <w:r w:rsidR="009E34F6">
        <w:rPr>
          <w:rFonts w:cs="Arial"/>
        </w:rPr>
        <w:t>,</w:t>
      </w:r>
      <w:r w:rsidR="008346CA">
        <w:rPr>
          <w:rFonts w:cs="Arial"/>
        </w:rPr>
        <w:t xml:space="preserve"> 3</w:t>
      </w:r>
      <w:r w:rsidR="00035A9B">
        <w:rPr>
          <w:rFonts w:cs="Arial"/>
        </w:rPr>
        <w:t xml:space="preserve">0 </w:t>
      </w:r>
      <w:r w:rsidR="003C6BE6">
        <w:rPr>
          <w:rFonts w:cs="Arial"/>
        </w:rPr>
        <w:t>September</w:t>
      </w:r>
      <w:r w:rsidR="00035A9B">
        <w:rPr>
          <w:rFonts w:cs="Arial"/>
        </w:rPr>
        <w:t xml:space="preserve"> 2015</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5D4C4D" w:rsidP="005D4C4D">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w:t>
      </w:r>
      <w:r w:rsidR="00AC4B4B">
        <w:rPr>
          <w:bCs w:val="0"/>
        </w:rPr>
        <w:t xml:space="preserve">: </w:t>
      </w:r>
      <w:r w:rsidR="00DE11B2">
        <w:rPr>
          <w:bCs w:val="0"/>
        </w:rPr>
        <w:t xml:space="preserve"> No</w:t>
      </w:r>
      <w:r>
        <w:rPr>
          <w:bCs w:val="0"/>
        </w:rPr>
        <w:t xml:space="preserve"> </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5D4C4D" w:rsidP="005D4C4D">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AC4B4B">
        <w:rPr>
          <w:rFonts w:cs="Arial"/>
          <w:b/>
          <w:bCs/>
        </w:rPr>
        <w:t>Councillor Ed Turner</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D4C4D" w:rsidRDefault="005D4C4D" w:rsidP="005D4C4D">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727ED1">
        <w:rPr>
          <w:rFonts w:cs="Arial"/>
          <w:b/>
          <w:bCs/>
        </w:rPr>
        <w:t>Efficient and effective Council</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CE3DFC" w:rsidRDefault="000C5DA1" w:rsidP="005D4C4D">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3D700B">
        <w:rPr>
          <w:rFonts w:cs="Arial"/>
          <w:b/>
        </w:rPr>
        <w:t xml:space="preserve">That the </w:t>
      </w:r>
      <w:r w:rsidR="00AC4B4B">
        <w:rPr>
          <w:rFonts w:cs="Arial"/>
          <w:b/>
        </w:rPr>
        <w:t>City Executive Board</w:t>
      </w:r>
      <w:r w:rsidR="0069761F">
        <w:rPr>
          <w:rFonts w:cs="Arial"/>
          <w:b/>
        </w:rPr>
        <w:t xml:space="preserve"> resolves to</w:t>
      </w:r>
      <w:r w:rsidR="0069250F">
        <w:rPr>
          <w:rFonts w:cs="Arial"/>
          <w:b/>
        </w:rPr>
        <w:t>:</w:t>
      </w:r>
    </w:p>
    <w:p w:rsidR="00520C82" w:rsidRPr="0069761F" w:rsidRDefault="00520C82" w:rsidP="0069761F">
      <w:pPr>
        <w:pStyle w:val="ListParagraph"/>
        <w:numPr>
          <w:ilvl w:val="0"/>
          <w:numId w:val="23"/>
        </w:numPr>
        <w:pBdr>
          <w:top w:val="single" w:sz="4" w:space="1" w:color="auto"/>
          <w:left w:val="single" w:sz="4" w:space="4" w:color="auto"/>
          <w:bottom w:val="single" w:sz="4" w:space="1" w:color="auto"/>
          <w:right w:val="single" w:sz="4" w:space="4" w:color="auto"/>
        </w:pBdr>
        <w:tabs>
          <w:tab w:val="left" w:pos="284"/>
          <w:tab w:val="left" w:pos="3048"/>
        </w:tabs>
        <w:rPr>
          <w:rFonts w:cs="Arial"/>
        </w:rPr>
      </w:pPr>
      <w:r w:rsidRPr="0069761F">
        <w:rPr>
          <w:rFonts w:cs="Arial"/>
        </w:rPr>
        <w:t xml:space="preserve">Note the projected </w:t>
      </w:r>
      <w:r w:rsidR="00431E84" w:rsidRPr="0069761F">
        <w:rPr>
          <w:rFonts w:cs="Arial"/>
        </w:rPr>
        <w:t>outturn</w:t>
      </w:r>
      <w:r w:rsidRPr="0069761F">
        <w:rPr>
          <w:rFonts w:cs="Arial"/>
        </w:rPr>
        <w:t xml:space="preserve"> </w:t>
      </w:r>
      <w:r w:rsidR="00431E84" w:rsidRPr="0069761F">
        <w:rPr>
          <w:rFonts w:cs="Arial"/>
        </w:rPr>
        <w:t>position</w:t>
      </w:r>
      <w:r w:rsidR="003C6BE6" w:rsidRPr="0069761F">
        <w:rPr>
          <w:rFonts w:cs="Arial"/>
        </w:rPr>
        <w:t xml:space="preserve"> and</w:t>
      </w:r>
      <w:r w:rsidRPr="0069761F">
        <w:rPr>
          <w:rFonts w:cs="Arial"/>
        </w:rPr>
        <w:t xml:space="preserve"> the performance and associated </w:t>
      </w:r>
      <w:r w:rsidR="00431E84" w:rsidRPr="0069761F">
        <w:rPr>
          <w:rFonts w:cs="Arial"/>
        </w:rPr>
        <w:t>risk information contained in the report</w:t>
      </w:r>
      <w:r w:rsidR="003C6BE6" w:rsidRPr="0069761F">
        <w:rPr>
          <w:rFonts w:cs="Arial"/>
        </w:rPr>
        <w:t>.</w:t>
      </w:r>
    </w:p>
    <w:p w:rsidR="00ED6250" w:rsidRDefault="00ED6250" w:rsidP="005D4C4D">
      <w:pPr>
        <w:rPr>
          <w:rFonts w:cs="Arial"/>
          <w:b/>
        </w:rPr>
      </w:pPr>
    </w:p>
    <w:p w:rsidR="007E1B08" w:rsidRPr="00AE0538" w:rsidRDefault="00AE0538" w:rsidP="005D4C4D">
      <w:pPr>
        <w:rPr>
          <w:rFonts w:cs="Arial"/>
          <w:b/>
        </w:rPr>
      </w:pPr>
      <w:r w:rsidRPr="00AE0538">
        <w:rPr>
          <w:rFonts w:cs="Arial"/>
          <w:b/>
        </w:rPr>
        <w:t>Appendices</w:t>
      </w:r>
    </w:p>
    <w:p w:rsidR="007E1B08" w:rsidRDefault="007E1B08" w:rsidP="005D4C4D">
      <w:pPr>
        <w:rPr>
          <w:rFonts w:cs="Arial"/>
        </w:rPr>
      </w:pPr>
    </w:p>
    <w:p w:rsidR="00EF7125" w:rsidRDefault="0069250F" w:rsidP="005D4C4D">
      <w:pPr>
        <w:rPr>
          <w:rFonts w:cs="Arial"/>
        </w:rPr>
      </w:pPr>
      <w:r w:rsidRPr="00335660">
        <w:rPr>
          <w:rFonts w:cs="Arial"/>
          <w:b/>
        </w:rPr>
        <w:t>Appendix A</w:t>
      </w:r>
      <w:r>
        <w:rPr>
          <w:rFonts w:cs="Arial"/>
        </w:rPr>
        <w:t xml:space="preserve"> </w:t>
      </w:r>
      <w:r w:rsidR="00240250">
        <w:rPr>
          <w:rFonts w:cs="Arial"/>
        </w:rPr>
        <w:t>–</w:t>
      </w:r>
      <w:r w:rsidR="00335660">
        <w:rPr>
          <w:rFonts w:cs="Arial"/>
        </w:rPr>
        <w:t xml:space="preserve"> Corporate </w:t>
      </w:r>
      <w:r w:rsidR="004331BA">
        <w:rPr>
          <w:rFonts w:cs="Arial"/>
        </w:rPr>
        <w:t>Integrated Report</w:t>
      </w:r>
      <w:r w:rsidR="00EF7125">
        <w:rPr>
          <w:rFonts w:cs="Arial"/>
        </w:rPr>
        <w:t xml:space="preserve"> </w:t>
      </w:r>
    </w:p>
    <w:p w:rsidR="00701D7D" w:rsidRDefault="00701D7D" w:rsidP="005D4C4D">
      <w:pPr>
        <w:rPr>
          <w:rFonts w:cs="Arial"/>
        </w:rPr>
      </w:pPr>
      <w:r w:rsidRPr="00335660">
        <w:rPr>
          <w:rFonts w:cs="Arial"/>
          <w:b/>
        </w:rPr>
        <w:t xml:space="preserve">Appendix </w:t>
      </w:r>
      <w:r w:rsidR="00335660" w:rsidRPr="00335660">
        <w:rPr>
          <w:rFonts w:cs="Arial"/>
          <w:b/>
        </w:rPr>
        <w:t>B</w:t>
      </w:r>
      <w:r>
        <w:rPr>
          <w:rFonts w:cs="Arial"/>
        </w:rPr>
        <w:t xml:space="preserve"> </w:t>
      </w:r>
      <w:r w:rsidR="00240250">
        <w:rPr>
          <w:rFonts w:cs="Arial"/>
        </w:rPr>
        <w:t>–</w:t>
      </w:r>
      <w:r w:rsidR="00335660">
        <w:rPr>
          <w:rFonts w:cs="Arial"/>
        </w:rPr>
        <w:t xml:space="preserve"> City </w:t>
      </w:r>
      <w:r w:rsidR="00D555A4">
        <w:rPr>
          <w:rFonts w:cs="Arial"/>
        </w:rPr>
        <w:t>Regeneration</w:t>
      </w:r>
      <w:r>
        <w:rPr>
          <w:rFonts w:cs="Arial"/>
        </w:rPr>
        <w:t xml:space="preserve"> </w:t>
      </w:r>
      <w:r w:rsidR="00335660">
        <w:rPr>
          <w:rFonts w:cs="Arial"/>
        </w:rPr>
        <w:t>Integrated R</w:t>
      </w:r>
      <w:r>
        <w:rPr>
          <w:rFonts w:cs="Arial"/>
        </w:rPr>
        <w:t>eport</w:t>
      </w:r>
    </w:p>
    <w:p w:rsidR="00701D7D" w:rsidRDefault="00335660" w:rsidP="005D4C4D">
      <w:pPr>
        <w:rPr>
          <w:rFonts w:cs="Arial"/>
        </w:rPr>
      </w:pPr>
      <w:r w:rsidRPr="00335660">
        <w:rPr>
          <w:rFonts w:cs="Arial"/>
          <w:b/>
        </w:rPr>
        <w:t>Appendix C</w:t>
      </w:r>
      <w:r w:rsidR="00D555A4">
        <w:rPr>
          <w:rFonts w:cs="Arial"/>
        </w:rPr>
        <w:t xml:space="preserve"> </w:t>
      </w:r>
      <w:r w:rsidR="00240250">
        <w:rPr>
          <w:rFonts w:cs="Arial"/>
        </w:rPr>
        <w:t>–</w:t>
      </w:r>
      <w:r w:rsidR="00D555A4">
        <w:rPr>
          <w:rFonts w:cs="Arial"/>
        </w:rPr>
        <w:t xml:space="preserve"> </w:t>
      </w:r>
      <w:r>
        <w:rPr>
          <w:rFonts w:cs="Arial"/>
        </w:rPr>
        <w:t>Organisational Development and</w:t>
      </w:r>
      <w:r w:rsidR="00D555A4">
        <w:rPr>
          <w:rFonts w:cs="Arial"/>
        </w:rPr>
        <w:t xml:space="preserve"> </w:t>
      </w:r>
      <w:r w:rsidR="009562DE">
        <w:rPr>
          <w:rFonts w:cs="Arial"/>
        </w:rPr>
        <w:t xml:space="preserve">Corporate </w:t>
      </w:r>
      <w:r w:rsidR="00DF735B">
        <w:rPr>
          <w:rFonts w:cs="Arial"/>
        </w:rPr>
        <w:t>Services</w:t>
      </w:r>
      <w:r w:rsidR="00D555A4">
        <w:rPr>
          <w:rFonts w:cs="Arial"/>
        </w:rPr>
        <w:t xml:space="preserve"> </w:t>
      </w:r>
      <w:r w:rsidR="00DF735B">
        <w:rPr>
          <w:rFonts w:cs="Arial"/>
        </w:rPr>
        <w:t>I</w:t>
      </w:r>
      <w:r>
        <w:rPr>
          <w:rFonts w:cs="Arial"/>
        </w:rPr>
        <w:t>ntegrated Report</w:t>
      </w:r>
    </w:p>
    <w:p w:rsidR="000372FD" w:rsidRDefault="000372FD" w:rsidP="005D4C4D">
      <w:pPr>
        <w:rPr>
          <w:rFonts w:cs="Arial"/>
        </w:rPr>
      </w:pPr>
      <w:r w:rsidRPr="000372FD">
        <w:rPr>
          <w:rFonts w:cs="Arial"/>
          <w:b/>
        </w:rPr>
        <w:t xml:space="preserve">Appendix </w:t>
      </w:r>
      <w:r>
        <w:rPr>
          <w:rFonts w:cs="Arial"/>
          <w:b/>
        </w:rPr>
        <w:t>D</w:t>
      </w:r>
      <w:r w:rsidR="00D555A4">
        <w:rPr>
          <w:rFonts w:cs="Arial"/>
        </w:rPr>
        <w:t xml:space="preserve"> </w:t>
      </w:r>
      <w:r w:rsidR="00240250">
        <w:rPr>
          <w:rFonts w:cs="Arial"/>
        </w:rPr>
        <w:t>–</w:t>
      </w:r>
      <w:r w:rsidR="00D555A4">
        <w:rPr>
          <w:rFonts w:cs="Arial"/>
        </w:rPr>
        <w:t xml:space="preserve"> </w:t>
      </w:r>
      <w:r>
        <w:rPr>
          <w:rFonts w:cs="Arial"/>
        </w:rPr>
        <w:t>Community Services Integrated Report</w:t>
      </w:r>
    </w:p>
    <w:p w:rsidR="00B93406" w:rsidRDefault="00B93406" w:rsidP="005D4C4D">
      <w:pPr>
        <w:rPr>
          <w:rFonts w:cs="Arial"/>
        </w:rPr>
      </w:pPr>
      <w:r w:rsidRPr="009620A8">
        <w:rPr>
          <w:rFonts w:cs="Arial"/>
          <w:b/>
        </w:rPr>
        <w:t>Appendix E</w:t>
      </w:r>
      <w:r>
        <w:rPr>
          <w:rFonts w:cs="Arial"/>
        </w:rPr>
        <w:t xml:space="preserve"> – </w:t>
      </w:r>
      <w:r w:rsidR="009620A8">
        <w:rPr>
          <w:rFonts w:cs="Arial"/>
        </w:rPr>
        <w:t xml:space="preserve">Assistant </w:t>
      </w:r>
      <w:r>
        <w:rPr>
          <w:rFonts w:cs="Arial"/>
        </w:rPr>
        <w:t>Chief Executives Integrated Report</w:t>
      </w:r>
    </w:p>
    <w:p w:rsidR="00335660" w:rsidRDefault="000372FD" w:rsidP="005D4C4D">
      <w:pPr>
        <w:rPr>
          <w:rFonts w:cs="Arial"/>
        </w:rPr>
      </w:pPr>
      <w:r>
        <w:rPr>
          <w:rFonts w:cs="Arial"/>
          <w:b/>
        </w:rPr>
        <w:t xml:space="preserve">Appendix </w:t>
      </w:r>
      <w:r w:rsidR="00B93406">
        <w:rPr>
          <w:rFonts w:cs="Arial"/>
          <w:b/>
        </w:rPr>
        <w:t>F</w:t>
      </w:r>
      <w:r w:rsidR="00335660" w:rsidRPr="00335660">
        <w:rPr>
          <w:rFonts w:cs="Arial"/>
          <w:b/>
        </w:rPr>
        <w:t>1</w:t>
      </w:r>
      <w:r w:rsidR="00335660">
        <w:rPr>
          <w:rFonts w:cs="Arial"/>
        </w:rPr>
        <w:t xml:space="preserve"> – General Fund </w:t>
      </w:r>
      <w:r w:rsidR="003C6BE6">
        <w:rPr>
          <w:rFonts w:cs="Arial"/>
        </w:rPr>
        <w:t>September</w:t>
      </w:r>
      <w:r w:rsidR="005C4131">
        <w:rPr>
          <w:rFonts w:cs="Arial"/>
        </w:rPr>
        <w:t xml:space="preserve"> </w:t>
      </w:r>
      <w:r w:rsidR="005905C2">
        <w:rPr>
          <w:rFonts w:cs="Arial"/>
        </w:rPr>
        <w:t xml:space="preserve">Forecast </w:t>
      </w:r>
      <w:r w:rsidR="00335660">
        <w:rPr>
          <w:rFonts w:cs="Arial"/>
        </w:rPr>
        <w:t>Outturn</w:t>
      </w:r>
    </w:p>
    <w:p w:rsidR="00335660" w:rsidRDefault="000372FD" w:rsidP="005D4C4D">
      <w:pPr>
        <w:rPr>
          <w:rFonts w:cs="Arial"/>
        </w:rPr>
      </w:pPr>
      <w:r>
        <w:rPr>
          <w:rFonts w:cs="Arial"/>
          <w:b/>
        </w:rPr>
        <w:t xml:space="preserve">Appendix </w:t>
      </w:r>
      <w:r w:rsidR="00B93406">
        <w:rPr>
          <w:rFonts w:cs="Arial"/>
          <w:b/>
        </w:rPr>
        <w:t>F</w:t>
      </w:r>
      <w:r w:rsidR="00335660" w:rsidRPr="00335660">
        <w:rPr>
          <w:rFonts w:cs="Arial"/>
          <w:b/>
        </w:rPr>
        <w:t>2</w:t>
      </w:r>
      <w:r w:rsidR="00335660">
        <w:rPr>
          <w:rFonts w:cs="Arial"/>
        </w:rPr>
        <w:t xml:space="preserve"> – Capital Programme </w:t>
      </w:r>
      <w:r w:rsidR="003C6BE6">
        <w:rPr>
          <w:rFonts w:cs="Arial"/>
        </w:rPr>
        <w:t>September</w:t>
      </w:r>
      <w:r w:rsidR="005905C2">
        <w:rPr>
          <w:rFonts w:cs="Arial"/>
        </w:rPr>
        <w:t xml:space="preserve"> Forecast </w:t>
      </w:r>
      <w:r w:rsidR="00335660">
        <w:rPr>
          <w:rFonts w:cs="Arial"/>
        </w:rPr>
        <w:t>Outturn</w:t>
      </w:r>
    </w:p>
    <w:p w:rsidR="00335660" w:rsidRDefault="000372FD" w:rsidP="005D4C4D">
      <w:pPr>
        <w:rPr>
          <w:rFonts w:cs="Arial"/>
        </w:rPr>
      </w:pPr>
      <w:r>
        <w:rPr>
          <w:rFonts w:cs="Arial"/>
          <w:b/>
        </w:rPr>
        <w:t xml:space="preserve">Appendix </w:t>
      </w:r>
      <w:r w:rsidR="00B93406">
        <w:rPr>
          <w:rFonts w:cs="Arial"/>
          <w:b/>
        </w:rPr>
        <w:t>F</w:t>
      </w:r>
      <w:r w:rsidR="00335660" w:rsidRPr="00335660">
        <w:rPr>
          <w:rFonts w:cs="Arial"/>
          <w:b/>
        </w:rPr>
        <w:t>3</w:t>
      </w:r>
      <w:r w:rsidR="00335660">
        <w:rPr>
          <w:rFonts w:cs="Arial"/>
        </w:rPr>
        <w:t xml:space="preserve"> – HRA </w:t>
      </w:r>
      <w:r w:rsidR="003C6BE6">
        <w:rPr>
          <w:rFonts w:cs="Arial"/>
        </w:rPr>
        <w:t>September</w:t>
      </w:r>
      <w:r w:rsidR="005905C2">
        <w:rPr>
          <w:rFonts w:cs="Arial"/>
        </w:rPr>
        <w:t xml:space="preserve"> Forecast </w:t>
      </w:r>
      <w:r w:rsidR="00335660">
        <w:rPr>
          <w:rFonts w:cs="Arial"/>
        </w:rPr>
        <w:t>Outturn</w:t>
      </w:r>
    </w:p>
    <w:p w:rsidR="002D3856" w:rsidRDefault="002D3856" w:rsidP="002D3856">
      <w:pPr>
        <w:rPr>
          <w:rFonts w:cs="Arial"/>
        </w:rPr>
      </w:pPr>
    </w:p>
    <w:p w:rsidR="0069761F" w:rsidRDefault="0069761F" w:rsidP="002D3856">
      <w:pPr>
        <w:rPr>
          <w:rFonts w:cs="Arial"/>
        </w:rPr>
      </w:pPr>
    </w:p>
    <w:p w:rsidR="00AE0538" w:rsidRDefault="00AE0538" w:rsidP="002D3856">
      <w:pPr>
        <w:rPr>
          <w:rFonts w:cs="Arial"/>
          <w:b/>
        </w:rPr>
      </w:pPr>
      <w:r>
        <w:rPr>
          <w:rFonts w:cs="Arial"/>
          <w:b/>
        </w:rPr>
        <w:lastRenderedPageBreak/>
        <w:t>Executive Summary</w:t>
      </w:r>
    </w:p>
    <w:p w:rsidR="00AE0538" w:rsidRDefault="00AE0538" w:rsidP="002D3856">
      <w:pPr>
        <w:rPr>
          <w:rFonts w:cs="Arial"/>
        </w:rPr>
      </w:pPr>
    </w:p>
    <w:p w:rsidR="00AE0538" w:rsidRDefault="00AE0538" w:rsidP="00662A0F">
      <w:pPr>
        <w:numPr>
          <w:ilvl w:val="0"/>
          <w:numId w:val="1"/>
        </w:numPr>
        <w:ind w:left="426" w:hanging="426"/>
        <w:rPr>
          <w:rFonts w:cs="Arial"/>
        </w:rPr>
      </w:pPr>
      <w:r>
        <w:rPr>
          <w:rFonts w:cs="Arial"/>
        </w:rPr>
        <w:t xml:space="preserve">This report </w:t>
      </w:r>
      <w:r w:rsidR="00C05488">
        <w:rPr>
          <w:rFonts w:cs="Arial"/>
        </w:rPr>
        <w:t xml:space="preserve">sets out </w:t>
      </w:r>
      <w:r>
        <w:rPr>
          <w:rFonts w:cs="Arial"/>
        </w:rPr>
        <w:t xml:space="preserve">the </w:t>
      </w:r>
      <w:r w:rsidR="00C05488">
        <w:rPr>
          <w:rFonts w:cs="Arial"/>
        </w:rPr>
        <w:t xml:space="preserve">projected outturn position for </w:t>
      </w:r>
      <w:r>
        <w:rPr>
          <w:rFonts w:cs="Arial"/>
        </w:rPr>
        <w:t>financ</w:t>
      </w:r>
      <w:r w:rsidR="00C05488">
        <w:rPr>
          <w:rFonts w:cs="Arial"/>
        </w:rPr>
        <w:t>e</w:t>
      </w:r>
      <w:r>
        <w:rPr>
          <w:rFonts w:cs="Arial"/>
        </w:rPr>
        <w:t xml:space="preserve"> and performance</w:t>
      </w:r>
      <w:r w:rsidR="00C05488">
        <w:rPr>
          <w:rFonts w:cs="Arial"/>
        </w:rPr>
        <w:t xml:space="preserve"> as at the end of </w:t>
      </w:r>
      <w:r w:rsidR="004828D3">
        <w:rPr>
          <w:rFonts w:cs="Arial"/>
        </w:rPr>
        <w:t xml:space="preserve">the </w:t>
      </w:r>
      <w:r w:rsidR="003C6BE6">
        <w:rPr>
          <w:rFonts w:cs="Arial"/>
        </w:rPr>
        <w:t>second</w:t>
      </w:r>
      <w:r w:rsidR="00BE0411">
        <w:rPr>
          <w:rFonts w:cs="Arial"/>
        </w:rPr>
        <w:t xml:space="preserve"> </w:t>
      </w:r>
      <w:r w:rsidR="00C05488">
        <w:rPr>
          <w:rFonts w:cs="Arial"/>
        </w:rPr>
        <w:t>quarter</w:t>
      </w:r>
      <w:r w:rsidR="009562DE">
        <w:rPr>
          <w:rFonts w:cs="Arial"/>
        </w:rPr>
        <w:t xml:space="preserve"> of 2015/16</w:t>
      </w:r>
      <w:r w:rsidR="00C05488">
        <w:rPr>
          <w:rFonts w:cs="Arial"/>
        </w:rPr>
        <w:t>,</w:t>
      </w:r>
      <w:r>
        <w:rPr>
          <w:rFonts w:cs="Arial"/>
        </w:rPr>
        <w:t xml:space="preserve"> </w:t>
      </w:r>
      <w:r w:rsidR="00C05488">
        <w:rPr>
          <w:rFonts w:cs="Arial"/>
        </w:rPr>
        <w:t xml:space="preserve">together with the </w:t>
      </w:r>
      <w:r>
        <w:rPr>
          <w:rFonts w:cs="Arial"/>
        </w:rPr>
        <w:t>risks faced.  A brief summary is as follows: -</w:t>
      </w:r>
    </w:p>
    <w:p w:rsidR="00307A9B" w:rsidRDefault="00307A9B" w:rsidP="00520C82">
      <w:pPr>
        <w:ind w:left="426"/>
        <w:rPr>
          <w:rFonts w:cs="Arial"/>
          <w:b/>
        </w:rPr>
      </w:pPr>
    </w:p>
    <w:p w:rsidR="000C3F42" w:rsidRPr="00520C82" w:rsidRDefault="000C3F42" w:rsidP="00520C82">
      <w:pPr>
        <w:ind w:left="426"/>
        <w:rPr>
          <w:rFonts w:cs="Arial"/>
          <w:b/>
        </w:rPr>
      </w:pPr>
      <w:r w:rsidRPr="00520C82">
        <w:rPr>
          <w:rFonts w:cs="Arial"/>
          <w:b/>
        </w:rPr>
        <w:t>Finance</w:t>
      </w:r>
    </w:p>
    <w:p w:rsidR="008E5A73" w:rsidRPr="008E5A73" w:rsidRDefault="00A20074" w:rsidP="00973B83">
      <w:pPr>
        <w:numPr>
          <w:ilvl w:val="0"/>
          <w:numId w:val="2"/>
        </w:numPr>
        <w:spacing w:after="120"/>
        <w:ind w:left="850" w:hanging="357"/>
        <w:rPr>
          <w:rFonts w:cs="Arial"/>
        </w:rPr>
      </w:pPr>
      <w:r w:rsidRPr="003703E5">
        <w:rPr>
          <w:rFonts w:cs="Arial"/>
          <w:b/>
        </w:rPr>
        <w:t>General Fund</w:t>
      </w:r>
      <w:r w:rsidRPr="003703E5">
        <w:rPr>
          <w:rFonts w:cs="Arial"/>
        </w:rPr>
        <w:t xml:space="preserve"> – the </w:t>
      </w:r>
      <w:r w:rsidR="008E5A73" w:rsidRPr="003703E5">
        <w:rPr>
          <w:rFonts w:cs="Arial"/>
        </w:rPr>
        <w:t xml:space="preserve">outturn position is estimated to be </w:t>
      </w:r>
      <w:r w:rsidR="009562DE">
        <w:rPr>
          <w:rFonts w:cs="Arial"/>
        </w:rPr>
        <w:t>a</w:t>
      </w:r>
      <w:r w:rsidR="00973B83">
        <w:rPr>
          <w:rFonts w:cs="Arial"/>
        </w:rPr>
        <w:t xml:space="preserve"> </w:t>
      </w:r>
      <w:r w:rsidR="008E5A73" w:rsidRPr="003703E5">
        <w:rPr>
          <w:rFonts w:cs="Arial"/>
        </w:rPr>
        <w:t>£</w:t>
      </w:r>
      <w:r w:rsidR="00B561B1">
        <w:rPr>
          <w:rFonts w:cs="Arial"/>
        </w:rPr>
        <w:t>0.136</w:t>
      </w:r>
      <w:r w:rsidR="00986C1F" w:rsidRPr="003703E5">
        <w:rPr>
          <w:rFonts w:cs="Arial"/>
        </w:rPr>
        <w:t xml:space="preserve"> </w:t>
      </w:r>
      <w:r w:rsidR="003D700B" w:rsidRPr="003703E5">
        <w:rPr>
          <w:rFonts w:cs="Arial"/>
        </w:rPr>
        <w:t>million</w:t>
      </w:r>
      <w:r w:rsidR="00106D28" w:rsidRPr="003703E5">
        <w:rPr>
          <w:rFonts w:cs="Arial"/>
        </w:rPr>
        <w:t xml:space="preserve"> </w:t>
      </w:r>
      <w:r w:rsidR="00402EA9" w:rsidRPr="003703E5">
        <w:rPr>
          <w:rFonts w:cs="Arial"/>
        </w:rPr>
        <w:t>over</w:t>
      </w:r>
      <w:r w:rsidR="009562DE">
        <w:rPr>
          <w:rFonts w:cs="Arial"/>
        </w:rPr>
        <w:t>spend</w:t>
      </w:r>
      <w:r w:rsidR="00CD7DD1">
        <w:rPr>
          <w:rFonts w:cs="Arial"/>
        </w:rPr>
        <w:t xml:space="preserve"> </w:t>
      </w:r>
      <w:r w:rsidR="00CD7DD1" w:rsidRPr="00CD7DD1">
        <w:rPr>
          <w:rFonts w:cs="Arial"/>
        </w:rPr>
        <w:t>on a net budget of £2</w:t>
      </w:r>
      <w:r w:rsidR="00E33467">
        <w:rPr>
          <w:rFonts w:cs="Arial"/>
        </w:rPr>
        <w:t>3.3</w:t>
      </w:r>
      <w:r w:rsidR="00CD7DD1" w:rsidRPr="00CD7DD1">
        <w:rPr>
          <w:rFonts w:cs="Arial"/>
        </w:rPr>
        <w:t xml:space="preserve"> million</w:t>
      </w:r>
      <w:r w:rsidR="00212B06">
        <w:rPr>
          <w:rFonts w:cs="Arial"/>
        </w:rPr>
        <w:t xml:space="preserve">.  </w:t>
      </w:r>
      <w:r w:rsidR="001552CD">
        <w:rPr>
          <w:rFonts w:cs="Arial"/>
        </w:rPr>
        <w:t>The</w:t>
      </w:r>
      <w:r w:rsidR="00B561B1">
        <w:rPr>
          <w:rFonts w:cs="Arial"/>
        </w:rPr>
        <w:t xml:space="preserve">re are </w:t>
      </w:r>
      <w:r w:rsidR="00212B06">
        <w:rPr>
          <w:rFonts w:cs="Arial"/>
        </w:rPr>
        <w:t>variance</w:t>
      </w:r>
      <w:r w:rsidR="00F260C7">
        <w:rPr>
          <w:rFonts w:cs="Arial"/>
        </w:rPr>
        <w:t>s</w:t>
      </w:r>
      <w:r w:rsidR="003703E5">
        <w:rPr>
          <w:rFonts w:cs="Arial"/>
        </w:rPr>
        <w:t xml:space="preserve"> </w:t>
      </w:r>
      <w:r w:rsidR="00F920EE">
        <w:rPr>
          <w:rFonts w:cs="Arial"/>
        </w:rPr>
        <w:t xml:space="preserve">in Housing and Property </w:t>
      </w:r>
      <w:r w:rsidR="003703E5">
        <w:rPr>
          <w:rFonts w:cs="Arial"/>
        </w:rPr>
        <w:t>due to lost</w:t>
      </w:r>
      <w:r w:rsidR="000F409C">
        <w:rPr>
          <w:rFonts w:cs="Arial"/>
        </w:rPr>
        <w:t xml:space="preserve"> </w:t>
      </w:r>
      <w:r w:rsidR="003703E5">
        <w:rPr>
          <w:rFonts w:cs="Arial"/>
        </w:rPr>
        <w:t>fee income</w:t>
      </w:r>
      <w:r w:rsidR="00F260C7">
        <w:rPr>
          <w:rFonts w:cs="Arial"/>
        </w:rPr>
        <w:t xml:space="preserve"> </w:t>
      </w:r>
      <w:r w:rsidR="00B561B1">
        <w:rPr>
          <w:rFonts w:cs="Arial"/>
        </w:rPr>
        <w:t xml:space="preserve">from capital projects </w:t>
      </w:r>
      <w:r w:rsidR="00F260C7">
        <w:rPr>
          <w:rFonts w:cs="Arial"/>
        </w:rPr>
        <w:t xml:space="preserve">and </w:t>
      </w:r>
      <w:r w:rsidR="00B561B1">
        <w:rPr>
          <w:rFonts w:cs="Arial"/>
        </w:rPr>
        <w:t xml:space="preserve">in </w:t>
      </w:r>
      <w:r w:rsidR="00F260C7">
        <w:rPr>
          <w:rFonts w:cs="Arial"/>
        </w:rPr>
        <w:t>Planning and Regulatory due to staff turnover</w:t>
      </w:r>
      <w:r w:rsidR="006B328F">
        <w:rPr>
          <w:rFonts w:cs="Arial"/>
        </w:rPr>
        <w:t xml:space="preserve"> and associated cover arrangements</w:t>
      </w:r>
      <w:r w:rsidR="00B561B1">
        <w:rPr>
          <w:rFonts w:cs="Arial"/>
        </w:rPr>
        <w:t xml:space="preserve">; these are </w:t>
      </w:r>
      <w:r w:rsidR="003F0F22">
        <w:rPr>
          <w:rFonts w:cs="Arial"/>
        </w:rPr>
        <w:t>offset</w:t>
      </w:r>
      <w:r w:rsidR="00B561B1">
        <w:rPr>
          <w:rFonts w:cs="Arial"/>
        </w:rPr>
        <w:t xml:space="preserve"> by a reduction in </w:t>
      </w:r>
      <w:r w:rsidR="003F0F22">
        <w:rPr>
          <w:rFonts w:cs="Arial"/>
        </w:rPr>
        <w:t xml:space="preserve">the </w:t>
      </w:r>
      <w:r w:rsidR="00B561B1">
        <w:rPr>
          <w:rFonts w:cs="Arial"/>
        </w:rPr>
        <w:t>direct revenue financ</w:t>
      </w:r>
      <w:r w:rsidR="003F0F22">
        <w:rPr>
          <w:rFonts w:cs="Arial"/>
        </w:rPr>
        <w:t>ing of the Capital Programme</w:t>
      </w:r>
      <w:r w:rsidR="00B561B1">
        <w:rPr>
          <w:rFonts w:cs="Arial"/>
        </w:rPr>
        <w:t xml:space="preserve"> and </w:t>
      </w:r>
      <w:r w:rsidR="003F0F22">
        <w:rPr>
          <w:rFonts w:cs="Arial"/>
        </w:rPr>
        <w:t xml:space="preserve">application of </w:t>
      </w:r>
      <w:r w:rsidR="00B561B1">
        <w:rPr>
          <w:rFonts w:cs="Arial"/>
        </w:rPr>
        <w:t>the in-year corporate contingency budget</w:t>
      </w:r>
      <w:r w:rsidR="00BF345E">
        <w:rPr>
          <w:rFonts w:cs="Arial"/>
        </w:rPr>
        <w:t xml:space="preserve">.  </w:t>
      </w:r>
      <w:r w:rsidR="0033624D">
        <w:rPr>
          <w:rFonts w:cs="Arial"/>
        </w:rPr>
        <w:t>(</w:t>
      </w:r>
      <w:r w:rsidR="00212B06">
        <w:rPr>
          <w:rFonts w:cs="Arial"/>
        </w:rPr>
        <w:t>M</w:t>
      </w:r>
      <w:r w:rsidR="00D30906">
        <w:rPr>
          <w:rFonts w:cs="Arial"/>
        </w:rPr>
        <w:t>ore detail is available in Appendices A</w:t>
      </w:r>
      <w:r w:rsidR="00973B83">
        <w:rPr>
          <w:rFonts w:cs="Arial"/>
        </w:rPr>
        <w:t>2 and B2)</w:t>
      </w:r>
      <w:r w:rsidR="00D30906">
        <w:rPr>
          <w:rFonts w:cs="Arial"/>
        </w:rPr>
        <w:t>.</w:t>
      </w:r>
    </w:p>
    <w:p w:rsidR="00A20074" w:rsidRPr="008E5A73" w:rsidRDefault="00A20074" w:rsidP="00973B83">
      <w:pPr>
        <w:numPr>
          <w:ilvl w:val="0"/>
          <w:numId w:val="2"/>
        </w:numPr>
        <w:spacing w:after="120"/>
        <w:ind w:left="850" w:hanging="357"/>
        <w:rPr>
          <w:rFonts w:cs="Arial"/>
        </w:rPr>
      </w:pPr>
      <w:r w:rsidRPr="008E5A73">
        <w:rPr>
          <w:rFonts w:cs="Arial"/>
          <w:b/>
        </w:rPr>
        <w:t>Housing Revenue Account</w:t>
      </w:r>
      <w:r w:rsidRPr="008E5A73">
        <w:rPr>
          <w:rFonts w:cs="Arial"/>
        </w:rPr>
        <w:t xml:space="preserve"> – </w:t>
      </w:r>
      <w:r w:rsidR="00972FEF" w:rsidRPr="008E5A73">
        <w:rPr>
          <w:rFonts w:cs="Arial"/>
        </w:rPr>
        <w:t xml:space="preserve">the </w:t>
      </w:r>
      <w:r w:rsidR="002B1B9E" w:rsidRPr="008E5A73">
        <w:rPr>
          <w:rFonts w:cs="Arial"/>
        </w:rPr>
        <w:t xml:space="preserve">HRA </w:t>
      </w:r>
      <w:r w:rsidR="00C40556" w:rsidRPr="008E5A73">
        <w:rPr>
          <w:rFonts w:cs="Arial"/>
        </w:rPr>
        <w:t xml:space="preserve">is </w:t>
      </w:r>
      <w:r w:rsidR="008E5A73">
        <w:rPr>
          <w:rFonts w:cs="Arial"/>
        </w:rPr>
        <w:t xml:space="preserve">projected to </w:t>
      </w:r>
      <w:r w:rsidR="00F920EE">
        <w:rPr>
          <w:rFonts w:cs="Arial"/>
        </w:rPr>
        <w:t>spend to</w:t>
      </w:r>
      <w:r w:rsidR="008E5A73" w:rsidRPr="008E5A73">
        <w:rPr>
          <w:rFonts w:cs="Arial"/>
        </w:rPr>
        <w:t xml:space="preserve"> the latest budget</w:t>
      </w:r>
      <w:r w:rsidR="002461BE" w:rsidRPr="002461BE">
        <w:rPr>
          <w:rFonts w:cs="Arial"/>
          <w:bCs/>
        </w:rPr>
        <w:t>.</w:t>
      </w:r>
      <w:r w:rsidR="00D30906">
        <w:rPr>
          <w:rFonts w:cs="Arial"/>
        </w:rPr>
        <w:t xml:space="preserve"> </w:t>
      </w:r>
      <w:r w:rsidR="002461BE">
        <w:rPr>
          <w:rFonts w:cs="Arial"/>
        </w:rPr>
        <w:t xml:space="preserve"> M</w:t>
      </w:r>
      <w:r w:rsidR="00D30906">
        <w:rPr>
          <w:rFonts w:cs="Arial"/>
        </w:rPr>
        <w:t xml:space="preserve">ore detail is available in Appendices B and </w:t>
      </w:r>
      <w:r w:rsidR="00F920EE">
        <w:rPr>
          <w:rFonts w:cs="Arial"/>
        </w:rPr>
        <w:t>F</w:t>
      </w:r>
      <w:r w:rsidR="00D30906">
        <w:rPr>
          <w:rFonts w:cs="Arial"/>
        </w:rPr>
        <w:t>3</w:t>
      </w:r>
      <w:r w:rsidR="008E5A73" w:rsidRPr="008E5A73">
        <w:rPr>
          <w:rFonts w:cs="Arial"/>
        </w:rPr>
        <w:t>.</w:t>
      </w:r>
    </w:p>
    <w:p w:rsidR="000C3F42" w:rsidRDefault="00A20074" w:rsidP="00973B83">
      <w:pPr>
        <w:numPr>
          <w:ilvl w:val="0"/>
          <w:numId w:val="2"/>
        </w:numPr>
        <w:spacing w:after="120"/>
        <w:ind w:left="850" w:hanging="357"/>
        <w:rPr>
          <w:rFonts w:cs="Arial"/>
        </w:rPr>
      </w:pPr>
      <w:r w:rsidRPr="008E5A73">
        <w:rPr>
          <w:rFonts w:cs="Arial"/>
          <w:b/>
        </w:rPr>
        <w:t>Capital Programme</w:t>
      </w:r>
      <w:r w:rsidRPr="008E5A73">
        <w:rPr>
          <w:rFonts w:cs="Arial"/>
        </w:rPr>
        <w:t xml:space="preserve"> –</w:t>
      </w:r>
      <w:r w:rsidR="00E542C4" w:rsidRPr="008E5A73">
        <w:rPr>
          <w:rFonts w:cs="Arial"/>
        </w:rPr>
        <w:t xml:space="preserve"> </w:t>
      </w:r>
      <w:r w:rsidR="008E5A73">
        <w:rPr>
          <w:rFonts w:cs="Arial"/>
        </w:rPr>
        <w:t xml:space="preserve">the </w:t>
      </w:r>
      <w:r w:rsidR="008E5A73" w:rsidRPr="008E5A73">
        <w:rPr>
          <w:rFonts w:cs="Arial"/>
        </w:rPr>
        <w:t>c</w:t>
      </w:r>
      <w:r w:rsidR="004735DB">
        <w:rPr>
          <w:rFonts w:cs="Arial"/>
        </w:rPr>
        <w:t>apital outturn position shows a</w:t>
      </w:r>
      <w:r w:rsidR="008E5A73" w:rsidRPr="008E5A73">
        <w:rPr>
          <w:rFonts w:cs="Arial"/>
        </w:rPr>
        <w:t xml:space="preserve"> </w:t>
      </w:r>
      <w:r w:rsidR="00E04FE9" w:rsidRPr="00E04FE9">
        <w:rPr>
          <w:rFonts w:cs="Arial"/>
        </w:rPr>
        <w:t xml:space="preserve">net </w:t>
      </w:r>
      <w:r w:rsidR="0033624D">
        <w:rPr>
          <w:rFonts w:cs="Arial"/>
        </w:rPr>
        <w:t xml:space="preserve">‘underspend’ </w:t>
      </w:r>
      <w:r w:rsidR="00E04FE9" w:rsidRPr="009E3E56">
        <w:rPr>
          <w:rFonts w:cs="Arial"/>
        </w:rPr>
        <w:t xml:space="preserve">against the budget </w:t>
      </w:r>
      <w:r w:rsidR="00356672" w:rsidRPr="009E3E56">
        <w:rPr>
          <w:rFonts w:cs="Arial"/>
        </w:rPr>
        <w:t xml:space="preserve">of </w:t>
      </w:r>
      <w:r w:rsidR="009E3E56" w:rsidRPr="009E3E56">
        <w:rPr>
          <w:rFonts w:cs="Arial"/>
        </w:rPr>
        <w:t>£10.936 million</w:t>
      </w:r>
      <w:r w:rsidR="0033624D">
        <w:rPr>
          <w:rFonts w:cs="Arial"/>
        </w:rPr>
        <w:t>, of</w:t>
      </w:r>
      <w:r w:rsidR="009E3E56" w:rsidRPr="009E3E56">
        <w:rPr>
          <w:rFonts w:cs="Arial"/>
        </w:rPr>
        <w:t xml:space="preserve"> which £6.349 million </w:t>
      </w:r>
      <w:r w:rsidR="00307A9B">
        <w:rPr>
          <w:rFonts w:cs="Arial"/>
        </w:rPr>
        <w:t xml:space="preserve">are deferred </w:t>
      </w:r>
      <w:r w:rsidR="009E3E56" w:rsidRPr="009E3E56">
        <w:rPr>
          <w:rFonts w:cs="Arial"/>
        </w:rPr>
        <w:t>scheme</w:t>
      </w:r>
      <w:r w:rsidR="00307A9B">
        <w:rPr>
          <w:rFonts w:cs="Arial"/>
        </w:rPr>
        <w:t>s</w:t>
      </w:r>
      <w:r w:rsidR="009E3E56" w:rsidRPr="009E3E56">
        <w:rPr>
          <w:rFonts w:cs="Arial"/>
        </w:rPr>
        <w:t xml:space="preserve"> </w:t>
      </w:r>
      <w:r w:rsidR="00307A9B">
        <w:rPr>
          <w:rFonts w:cs="Arial"/>
        </w:rPr>
        <w:t>(</w:t>
      </w:r>
      <w:r w:rsidR="009E3E56" w:rsidRPr="009E3E56">
        <w:rPr>
          <w:rFonts w:cs="Arial"/>
        </w:rPr>
        <w:t>as agreed at the 10</w:t>
      </w:r>
      <w:r w:rsidR="009E3E56" w:rsidRPr="009E3E56">
        <w:rPr>
          <w:rFonts w:cs="Arial"/>
          <w:vertAlign w:val="superscript"/>
        </w:rPr>
        <w:t>th</w:t>
      </w:r>
      <w:r w:rsidR="009E3E56" w:rsidRPr="009E3E56">
        <w:rPr>
          <w:rFonts w:cs="Arial"/>
        </w:rPr>
        <w:t xml:space="preserve"> September meeting of CEB</w:t>
      </w:r>
      <w:r w:rsidR="00307A9B">
        <w:rPr>
          <w:rFonts w:cs="Arial"/>
        </w:rPr>
        <w:t>)</w:t>
      </w:r>
      <w:r w:rsidR="00701296" w:rsidRPr="009E3E56">
        <w:rPr>
          <w:rFonts w:cs="Arial"/>
        </w:rPr>
        <w:t>.  M</w:t>
      </w:r>
      <w:r w:rsidR="00D30906" w:rsidRPr="009E3E56">
        <w:rPr>
          <w:rFonts w:cs="Arial"/>
        </w:rPr>
        <w:t>ore det</w:t>
      </w:r>
      <w:r w:rsidR="00701296" w:rsidRPr="009E3E56">
        <w:rPr>
          <w:rFonts w:cs="Arial"/>
        </w:rPr>
        <w:t>ail is available in</w:t>
      </w:r>
      <w:r w:rsidR="00701296">
        <w:rPr>
          <w:rFonts w:cs="Arial"/>
        </w:rPr>
        <w:t xml:space="preserve"> Appendi</w:t>
      </w:r>
      <w:r w:rsidR="00F920EE">
        <w:rPr>
          <w:rFonts w:cs="Arial"/>
        </w:rPr>
        <w:t>ces A and F</w:t>
      </w:r>
      <w:r w:rsidR="00701296">
        <w:rPr>
          <w:rFonts w:cs="Arial"/>
        </w:rPr>
        <w:t>3</w:t>
      </w:r>
      <w:r w:rsidR="008E5A73" w:rsidRPr="008E5A73">
        <w:rPr>
          <w:rFonts w:cs="Arial"/>
        </w:rPr>
        <w:t>.</w:t>
      </w:r>
    </w:p>
    <w:p w:rsidR="000C3F42" w:rsidRPr="000C3F42" w:rsidRDefault="000C3F42" w:rsidP="00520C82">
      <w:pPr>
        <w:rPr>
          <w:rFonts w:cs="Arial"/>
        </w:rPr>
      </w:pPr>
    </w:p>
    <w:p w:rsidR="00714894" w:rsidRDefault="00A20074" w:rsidP="00520C82">
      <w:pPr>
        <w:ind w:left="426"/>
        <w:rPr>
          <w:rFonts w:cs="Arial"/>
        </w:rPr>
      </w:pPr>
      <w:r w:rsidRPr="004D034A">
        <w:rPr>
          <w:rFonts w:cs="Arial"/>
          <w:b/>
        </w:rPr>
        <w:t>Performance</w:t>
      </w:r>
      <w:r w:rsidRPr="004D034A">
        <w:rPr>
          <w:rFonts w:cs="Arial"/>
        </w:rPr>
        <w:t xml:space="preserve"> –</w:t>
      </w:r>
      <w:r w:rsidR="00083E8E">
        <w:rPr>
          <w:rFonts w:cs="Arial"/>
        </w:rPr>
        <w:t xml:space="preserve"> </w:t>
      </w:r>
      <w:r w:rsidR="00581FD3" w:rsidRPr="00581FD3">
        <w:rPr>
          <w:rFonts w:cs="Arial"/>
        </w:rPr>
        <w:t xml:space="preserve">14 </w:t>
      </w:r>
      <w:r w:rsidR="00307A9B">
        <w:rPr>
          <w:rFonts w:cs="Arial"/>
        </w:rPr>
        <w:t xml:space="preserve">corporate performance indicators </w:t>
      </w:r>
      <w:r w:rsidR="00581FD3" w:rsidRPr="00581FD3">
        <w:rPr>
          <w:rFonts w:cs="Arial"/>
        </w:rPr>
        <w:t>(74%) are being delivered as planned, 3 (16%) are below target but within acceptable tolerance limits and 2 (1</w:t>
      </w:r>
      <w:r w:rsidR="00B561B1">
        <w:rPr>
          <w:rFonts w:cs="Arial"/>
        </w:rPr>
        <w:t>0</w:t>
      </w:r>
      <w:r w:rsidR="00581FD3" w:rsidRPr="00581FD3">
        <w:rPr>
          <w:rFonts w:cs="Arial"/>
        </w:rPr>
        <w:t>%) are not meeting their target</w:t>
      </w:r>
      <w:r w:rsidR="00581FD3">
        <w:rPr>
          <w:rFonts w:cs="Arial"/>
        </w:rPr>
        <w:t>.</w:t>
      </w:r>
      <w:r w:rsidR="00697879">
        <w:rPr>
          <w:rFonts w:cs="Arial"/>
        </w:rPr>
        <w:t xml:space="preserve">  These </w:t>
      </w:r>
      <w:r w:rsidR="00701296" w:rsidRPr="004D034A">
        <w:rPr>
          <w:rFonts w:cs="Arial"/>
        </w:rPr>
        <w:t xml:space="preserve">are </w:t>
      </w:r>
      <w:r w:rsidR="00697879">
        <w:rPr>
          <w:rFonts w:cs="Arial"/>
        </w:rPr>
        <w:t>detailed</w:t>
      </w:r>
      <w:r w:rsidR="00701296" w:rsidRPr="004D034A">
        <w:rPr>
          <w:rFonts w:cs="Arial"/>
        </w:rPr>
        <w:t xml:space="preserve"> in paragraph </w:t>
      </w:r>
      <w:r w:rsidR="00006A11" w:rsidRPr="004D034A">
        <w:rPr>
          <w:rFonts w:cs="Arial"/>
        </w:rPr>
        <w:t>1</w:t>
      </w:r>
      <w:r w:rsidR="00006A11">
        <w:rPr>
          <w:rFonts w:cs="Arial"/>
        </w:rPr>
        <w:t>0</w:t>
      </w:r>
      <w:r w:rsidR="00006A11" w:rsidRPr="004D034A">
        <w:rPr>
          <w:rFonts w:cs="Arial"/>
        </w:rPr>
        <w:t xml:space="preserve"> </w:t>
      </w:r>
      <w:r w:rsidR="00697879">
        <w:rPr>
          <w:rFonts w:cs="Arial"/>
        </w:rPr>
        <w:t xml:space="preserve">below </w:t>
      </w:r>
      <w:r w:rsidR="00701296" w:rsidRPr="004D034A">
        <w:rPr>
          <w:rFonts w:cs="Arial"/>
        </w:rPr>
        <w:t>and in Appendix A</w:t>
      </w:r>
      <w:r w:rsidR="00697879">
        <w:rPr>
          <w:rFonts w:cs="Arial"/>
        </w:rPr>
        <w:t xml:space="preserve"> attached</w:t>
      </w:r>
      <w:r w:rsidR="00714894" w:rsidRPr="004D034A">
        <w:rPr>
          <w:rFonts w:cs="Arial"/>
        </w:rPr>
        <w:t>.</w:t>
      </w:r>
    </w:p>
    <w:p w:rsidR="000C3F42" w:rsidRPr="004D034A" w:rsidRDefault="000C3F42" w:rsidP="00520C82">
      <w:pPr>
        <w:rPr>
          <w:rFonts w:cs="Arial"/>
        </w:rPr>
      </w:pPr>
    </w:p>
    <w:p w:rsidR="00583B45" w:rsidRDefault="00A20074" w:rsidP="00520C82">
      <w:pPr>
        <w:ind w:left="426"/>
        <w:rPr>
          <w:rFonts w:cs="Arial"/>
        </w:rPr>
      </w:pPr>
      <w:r w:rsidRPr="00C44636">
        <w:rPr>
          <w:rFonts w:cs="Arial"/>
          <w:b/>
        </w:rPr>
        <w:t xml:space="preserve">Risk Management </w:t>
      </w:r>
      <w:r w:rsidRPr="00BA1074">
        <w:rPr>
          <w:rFonts w:cs="Arial"/>
        </w:rPr>
        <w:t xml:space="preserve">– </w:t>
      </w:r>
      <w:r w:rsidRPr="003473B2">
        <w:rPr>
          <w:rFonts w:cs="Arial"/>
        </w:rPr>
        <w:t xml:space="preserve">there </w:t>
      </w:r>
      <w:r w:rsidR="003217AF">
        <w:rPr>
          <w:rFonts w:cs="Arial"/>
        </w:rPr>
        <w:t>is one</w:t>
      </w:r>
      <w:r w:rsidR="00C94258" w:rsidRPr="003473B2">
        <w:rPr>
          <w:rFonts w:cs="Arial"/>
        </w:rPr>
        <w:t xml:space="preserve"> </w:t>
      </w:r>
      <w:r w:rsidR="005D546F" w:rsidRPr="003473B2">
        <w:rPr>
          <w:rFonts w:cs="Arial"/>
        </w:rPr>
        <w:t xml:space="preserve">corporate </w:t>
      </w:r>
      <w:r w:rsidRPr="003473B2">
        <w:rPr>
          <w:rFonts w:cs="Arial"/>
        </w:rPr>
        <w:t xml:space="preserve">red risk </w:t>
      </w:r>
      <w:r w:rsidR="00701296" w:rsidRPr="003473B2">
        <w:rPr>
          <w:rFonts w:cs="Arial"/>
        </w:rPr>
        <w:t xml:space="preserve">and </w:t>
      </w:r>
      <w:r w:rsidR="00490D2E">
        <w:rPr>
          <w:rFonts w:cs="Arial"/>
        </w:rPr>
        <w:t>3</w:t>
      </w:r>
      <w:r w:rsidR="00490D2E" w:rsidRPr="003473B2">
        <w:rPr>
          <w:rFonts w:cs="Arial"/>
        </w:rPr>
        <w:t xml:space="preserve"> </w:t>
      </w:r>
      <w:r w:rsidR="00701296" w:rsidRPr="003473B2">
        <w:rPr>
          <w:rFonts w:cs="Arial"/>
        </w:rPr>
        <w:t xml:space="preserve">amber risks </w:t>
      </w:r>
      <w:r w:rsidR="0049146A" w:rsidRPr="003473B2">
        <w:rPr>
          <w:rFonts w:cs="Arial"/>
        </w:rPr>
        <w:t xml:space="preserve">as </w:t>
      </w:r>
      <w:r w:rsidRPr="003473B2">
        <w:rPr>
          <w:rFonts w:cs="Arial"/>
        </w:rPr>
        <w:t xml:space="preserve">at </w:t>
      </w:r>
      <w:r w:rsidR="0049146A" w:rsidRPr="003473B2">
        <w:rPr>
          <w:rFonts w:cs="Arial"/>
        </w:rPr>
        <w:t>3</w:t>
      </w:r>
      <w:r w:rsidR="00C44636" w:rsidRPr="003473B2">
        <w:rPr>
          <w:rFonts w:cs="Arial"/>
        </w:rPr>
        <w:t>0</w:t>
      </w:r>
      <w:r w:rsidR="00C44636" w:rsidRPr="003473B2">
        <w:rPr>
          <w:rFonts w:cs="Arial"/>
          <w:vertAlign w:val="superscript"/>
        </w:rPr>
        <w:t>th</w:t>
      </w:r>
      <w:r w:rsidR="003217AF">
        <w:rPr>
          <w:rFonts w:cs="Arial"/>
        </w:rPr>
        <w:t xml:space="preserve"> September</w:t>
      </w:r>
      <w:r w:rsidR="00C44636" w:rsidRPr="003473B2">
        <w:rPr>
          <w:rFonts w:cs="Arial"/>
        </w:rPr>
        <w:t xml:space="preserve"> 2015</w:t>
      </w:r>
      <w:r w:rsidR="005A38B3">
        <w:rPr>
          <w:rFonts w:cs="Arial"/>
        </w:rPr>
        <w:t>.  These</w:t>
      </w:r>
      <w:r w:rsidR="00701296" w:rsidRPr="003473B2">
        <w:rPr>
          <w:rFonts w:cs="Arial"/>
        </w:rPr>
        <w:t xml:space="preserve"> are listed in </w:t>
      </w:r>
      <w:r w:rsidR="00701296" w:rsidRPr="003703E5">
        <w:rPr>
          <w:rFonts w:cs="Arial"/>
        </w:rPr>
        <w:t>paragraph</w:t>
      </w:r>
      <w:r w:rsidR="003703E5" w:rsidRPr="003703E5">
        <w:rPr>
          <w:rFonts w:cs="Arial"/>
        </w:rPr>
        <w:t>s</w:t>
      </w:r>
      <w:r w:rsidR="00701296" w:rsidRPr="003703E5">
        <w:rPr>
          <w:rFonts w:cs="Arial"/>
        </w:rPr>
        <w:t xml:space="preserve"> </w:t>
      </w:r>
      <w:r w:rsidR="00BF345E" w:rsidRPr="003703E5">
        <w:rPr>
          <w:rFonts w:cs="Arial"/>
        </w:rPr>
        <w:t>1</w:t>
      </w:r>
      <w:r w:rsidR="00006A11">
        <w:rPr>
          <w:rFonts w:cs="Arial"/>
        </w:rPr>
        <w:t>1</w:t>
      </w:r>
      <w:r w:rsidR="003703E5" w:rsidRPr="003703E5">
        <w:rPr>
          <w:rFonts w:cs="Arial"/>
        </w:rPr>
        <w:t xml:space="preserve"> to</w:t>
      </w:r>
      <w:r w:rsidR="003703E5">
        <w:rPr>
          <w:rFonts w:cs="Arial"/>
        </w:rPr>
        <w:t xml:space="preserve"> </w:t>
      </w:r>
      <w:r w:rsidR="00006A11">
        <w:rPr>
          <w:rFonts w:cs="Arial"/>
        </w:rPr>
        <w:t>14</w:t>
      </w:r>
      <w:r w:rsidR="00006A11" w:rsidRPr="003473B2">
        <w:rPr>
          <w:rFonts w:cs="Arial"/>
        </w:rPr>
        <w:t xml:space="preserve"> </w:t>
      </w:r>
      <w:r w:rsidR="00701296" w:rsidRPr="003473B2">
        <w:rPr>
          <w:rFonts w:cs="Arial"/>
        </w:rPr>
        <w:t>and Appendix A</w:t>
      </w:r>
      <w:r w:rsidR="009B2610" w:rsidRPr="003473B2">
        <w:rPr>
          <w:rFonts w:cs="Arial"/>
        </w:rPr>
        <w:t>.</w:t>
      </w:r>
      <w:r w:rsidR="00520C82">
        <w:rPr>
          <w:rFonts w:cs="Arial"/>
        </w:rPr>
        <w:t xml:space="preserve">  </w:t>
      </w:r>
    </w:p>
    <w:p w:rsidR="00583B45" w:rsidRDefault="00583B45" w:rsidP="00520C82">
      <w:pPr>
        <w:ind w:left="426"/>
        <w:rPr>
          <w:rFonts w:cs="Arial"/>
        </w:rPr>
      </w:pPr>
    </w:p>
    <w:p w:rsidR="00EF7125" w:rsidRDefault="004331BA" w:rsidP="002D3856">
      <w:pPr>
        <w:rPr>
          <w:rFonts w:cs="Arial"/>
        </w:rPr>
      </w:pPr>
      <w:r w:rsidRPr="004331BA">
        <w:rPr>
          <w:rFonts w:cs="Arial"/>
          <w:b/>
        </w:rPr>
        <w:t>Background</w:t>
      </w:r>
    </w:p>
    <w:p w:rsidR="004331BA" w:rsidRDefault="004331BA" w:rsidP="004331BA">
      <w:pPr>
        <w:rPr>
          <w:rFonts w:cs="Arial"/>
        </w:rPr>
      </w:pPr>
    </w:p>
    <w:p w:rsidR="004331BA" w:rsidRDefault="004735DB" w:rsidP="00662A0F">
      <w:pPr>
        <w:numPr>
          <w:ilvl w:val="0"/>
          <w:numId w:val="1"/>
        </w:numPr>
        <w:ind w:left="426" w:hanging="426"/>
        <w:rPr>
          <w:rFonts w:cs="Arial"/>
        </w:rPr>
      </w:pPr>
      <w:r>
        <w:rPr>
          <w:rFonts w:cs="Arial"/>
        </w:rPr>
        <w:t>Finance, Performance and Risk</w:t>
      </w:r>
      <w:r w:rsidR="00855B96">
        <w:rPr>
          <w:rFonts w:cs="Arial"/>
        </w:rPr>
        <w:t xml:space="preserve"> information</w:t>
      </w:r>
      <w:r w:rsidR="00A65250">
        <w:rPr>
          <w:rFonts w:cs="Arial"/>
        </w:rPr>
        <w:t xml:space="preserve"> </w:t>
      </w:r>
      <w:r w:rsidR="002E7245">
        <w:rPr>
          <w:rFonts w:cs="Arial"/>
        </w:rPr>
        <w:t>is</w:t>
      </w:r>
      <w:r w:rsidR="00A65250">
        <w:rPr>
          <w:rFonts w:cs="Arial"/>
        </w:rPr>
        <w:t xml:space="preserve"> reported in an integrated format to </w:t>
      </w:r>
      <w:r w:rsidR="000226F8">
        <w:rPr>
          <w:rFonts w:cs="Arial"/>
        </w:rPr>
        <w:t xml:space="preserve">the </w:t>
      </w:r>
      <w:r w:rsidR="00A65250">
        <w:rPr>
          <w:rFonts w:cs="Arial"/>
        </w:rPr>
        <w:t xml:space="preserve">City Executive Board </w:t>
      </w:r>
      <w:r w:rsidR="009D3FFE">
        <w:rPr>
          <w:rFonts w:cs="Arial"/>
        </w:rPr>
        <w:t>on a quarterly basis.</w:t>
      </w:r>
    </w:p>
    <w:p w:rsidR="00A65250" w:rsidRDefault="00A65250" w:rsidP="00A65250">
      <w:pPr>
        <w:ind w:left="426"/>
        <w:rPr>
          <w:rFonts w:cs="Arial"/>
        </w:rPr>
      </w:pPr>
    </w:p>
    <w:p w:rsidR="00A65250" w:rsidRDefault="004735DB" w:rsidP="00662A0F">
      <w:pPr>
        <w:numPr>
          <w:ilvl w:val="0"/>
          <w:numId w:val="1"/>
        </w:numPr>
        <w:ind w:left="426" w:hanging="426"/>
        <w:rPr>
          <w:rFonts w:cs="Arial"/>
        </w:rPr>
      </w:pPr>
      <w:r>
        <w:rPr>
          <w:rFonts w:cs="Arial"/>
        </w:rPr>
        <w:t>R</w:t>
      </w:r>
      <w:r w:rsidR="00A65250">
        <w:rPr>
          <w:rFonts w:cs="Arial"/>
        </w:rPr>
        <w:t xml:space="preserve">eports </w:t>
      </w:r>
      <w:r w:rsidR="009D3FFE">
        <w:rPr>
          <w:rFonts w:cs="Arial"/>
        </w:rPr>
        <w:t>as at the 3</w:t>
      </w:r>
      <w:r w:rsidR="00F920EE">
        <w:rPr>
          <w:rFonts w:cs="Arial"/>
        </w:rPr>
        <w:t xml:space="preserve">0 </w:t>
      </w:r>
      <w:r w:rsidR="003217AF">
        <w:rPr>
          <w:rFonts w:cs="Arial"/>
        </w:rPr>
        <w:t>September</w:t>
      </w:r>
      <w:r w:rsidR="00F920EE">
        <w:rPr>
          <w:rFonts w:cs="Arial"/>
        </w:rPr>
        <w:t xml:space="preserve"> 2015</w:t>
      </w:r>
      <w:r w:rsidR="00A65250">
        <w:rPr>
          <w:rFonts w:cs="Arial"/>
        </w:rPr>
        <w:t xml:space="preserve"> are attached at Appendices A to </w:t>
      </w:r>
      <w:r w:rsidR="00F920EE">
        <w:rPr>
          <w:rFonts w:cs="Arial"/>
        </w:rPr>
        <w:t>F</w:t>
      </w:r>
      <w:r w:rsidR="00A65250">
        <w:rPr>
          <w:rFonts w:cs="Arial"/>
        </w:rPr>
        <w:t xml:space="preserve">.  The reports </w:t>
      </w:r>
      <w:r w:rsidR="00855B96">
        <w:rPr>
          <w:rFonts w:cs="Arial"/>
        </w:rPr>
        <w:t xml:space="preserve">use </w:t>
      </w:r>
      <w:r w:rsidR="007154CE">
        <w:rPr>
          <w:rFonts w:cs="Arial"/>
        </w:rPr>
        <w:t>a Red, Amber</w:t>
      </w:r>
      <w:r w:rsidR="00A65250">
        <w:rPr>
          <w:rFonts w:cs="Arial"/>
        </w:rPr>
        <w:t xml:space="preserve"> and Green </w:t>
      </w:r>
      <w:r w:rsidR="004828D3">
        <w:rPr>
          <w:rFonts w:cs="Arial"/>
        </w:rPr>
        <w:t xml:space="preserve">(RAG) </w:t>
      </w:r>
      <w:r w:rsidR="00A65250">
        <w:rPr>
          <w:rFonts w:cs="Arial"/>
        </w:rPr>
        <w:t>reporting methodology.</w:t>
      </w:r>
      <w:r w:rsidR="000226F8">
        <w:rPr>
          <w:rFonts w:cs="Arial"/>
        </w:rPr>
        <w:t xml:space="preserve"> </w:t>
      </w:r>
      <w:r w:rsidR="004828D3">
        <w:rPr>
          <w:rFonts w:cs="Arial"/>
        </w:rPr>
        <w:t>These reports are available to M</w:t>
      </w:r>
      <w:r w:rsidR="000226F8">
        <w:rPr>
          <w:rFonts w:cs="Arial"/>
        </w:rPr>
        <w:t>embers on line via the intranet</w:t>
      </w:r>
      <w:r w:rsidR="006F4BA2">
        <w:rPr>
          <w:rFonts w:cs="Arial"/>
        </w:rPr>
        <w:t>.</w:t>
      </w:r>
    </w:p>
    <w:p w:rsidR="00E21168" w:rsidRDefault="00E21168" w:rsidP="002E7245">
      <w:pPr>
        <w:pStyle w:val="ListParagraph"/>
        <w:ind w:left="426"/>
        <w:rPr>
          <w:rFonts w:cs="Arial"/>
        </w:rPr>
      </w:pPr>
    </w:p>
    <w:p w:rsidR="002E7245" w:rsidRPr="001F3FA7" w:rsidRDefault="002E7245" w:rsidP="002E7245">
      <w:pPr>
        <w:rPr>
          <w:rFonts w:cs="Arial"/>
          <w:b/>
        </w:rPr>
      </w:pPr>
      <w:r w:rsidRPr="001F3FA7">
        <w:rPr>
          <w:rFonts w:cs="Arial"/>
          <w:b/>
        </w:rPr>
        <w:t>Financial Dials</w:t>
      </w:r>
    </w:p>
    <w:p w:rsidR="002E7245" w:rsidRPr="00387A11" w:rsidRDefault="002E7245" w:rsidP="002E7245">
      <w:pPr>
        <w:rPr>
          <w:rFonts w:cs="Arial"/>
        </w:rPr>
      </w:pPr>
    </w:p>
    <w:p w:rsidR="002E7245" w:rsidRDefault="002E7245" w:rsidP="002E7245">
      <w:pPr>
        <w:numPr>
          <w:ilvl w:val="0"/>
          <w:numId w:val="1"/>
        </w:numPr>
        <w:tabs>
          <w:tab w:val="left" w:pos="426"/>
        </w:tabs>
        <w:ind w:left="426" w:hanging="426"/>
        <w:rPr>
          <w:rFonts w:eastAsia="Calibri" w:cs="Arial"/>
        </w:rPr>
      </w:pPr>
      <w:r w:rsidRPr="00DE5CF6">
        <w:rPr>
          <w:rFonts w:eastAsia="Calibri" w:cs="Arial"/>
        </w:rPr>
        <w:t>The following tolerances apply to the financial dials</w:t>
      </w:r>
      <w:r>
        <w:rPr>
          <w:rFonts w:eastAsia="Calibri" w:cs="Arial"/>
        </w:rPr>
        <w:t xml:space="preserve"> in the summary reports</w:t>
      </w:r>
      <w:r w:rsidRPr="00DE5CF6">
        <w:rPr>
          <w:rFonts w:eastAsia="Calibri" w:cs="Arial"/>
        </w:rPr>
        <w:t>:</w:t>
      </w:r>
    </w:p>
    <w:p w:rsidR="002E7245" w:rsidRPr="00DE5CF6" w:rsidRDefault="002E7245" w:rsidP="002E7245">
      <w:pPr>
        <w:tabs>
          <w:tab w:val="left" w:pos="426"/>
          <w:tab w:val="left" w:pos="1134"/>
          <w:tab w:val="left" w:pos="1560"/>
        </w:tabs>
        <w:ind w:left="426"/>
        <w:rPr>
          <w:rFonts w:eastAsia="Calibri" w:cs="Arial"/>
        </w:rPr>
      </w:pPr>
      <w:r w:rsidRPr="00DE5CF6">
        <w:rPr>
          <w:rFonts w:eastAsia="Calibri" w:cs="Arial"/>
          <w:b/>
        </w:rPr>
        <w:t>Green</w:t>
      </w:r>
      <w:r>
        <w:rPr>
          <w:rFonts w:eastAsia="Calibri" w:cs="Arial"/>
          <w:b/>
        </w:rPr>
        <w:t xml:space="preserve"> </w:t>
      </w:r>
      <w:r>
        <w:rPr>
          <w:rFonts w:eastAsia="Calibri" w:cs="Arial"/>
        </w:rPr>
        <w:t>–</w:t>
      </w:r>
      <w:r w:rsidRPr="00DE5CF6">
        <w:rPr>
          <w:rFonts w:eastAsia="Calibri" w:cs="Arial"/>
        </w:rPr>
        <w:t xml:space="preserve"> Forecast</w:t>
      </w:r>
      <w:r>
        <w:rPr>
          <w:rFonts w:eastAsia="Calibri" w:cs="Arial"/>
        </w:rPr>
        <w:t xml:space="preserve"> </w:t>
      </w:r>
      <w:r w:rsidRPr="00DE5CF6">
        <w:rPr>
          <w:rFonts w:eastAsia="Calibri" w:cs="Arial"/>
        </w:rPr>
        <w:t>outturn is within 100% of the latest approved budget</w:t>
      </w:r>
      <w:r>
        <w:rPr>
          <w:rFonts w:eastAsia="Calibri" w:cs="Arial"/>
        </w:rPr>
        <w:t>.</w:t>
      </w:r>
    </w:p>
    <w:p w:rsidR="002E7245" w:rsidRPr="00DE5CF6" w:rsidRDefault="002E7245" w:rsidP="002E7245">
      <w:pPr>
        <w:tabs>
          <w:tab w:val="left" w:pos="426"/>
          <w:tab w:val="left" w:pos="1134"/>
          <w:tab w:val="left" w:pos="1560"/>
        </w:tabs>
        <w:ind w:left="426"/>
        <w:rPr>
          <w:rFonts w:eastAsia="Calibri" w:cs="Arial"/>
        </w:rPr>
      </w:pPr>
      <w:r w:rsidRPr="00DE5CF6">
        <w:rPr>
          <w:rFonts w:eastAsia="Calibri" w:cs="Arial"/>
          <w:b/>
        </w:rPr>
        <w:t>Amber</w:t>
      </w:r>
      <w:r>
        <w:rPr>
          <w:rFonts w:eastAsia="Calibri" w:cs="Arial"/>
          <w:b/>
        </w:rPr>
        <w:t xml:space="preserve"> </w:t>
      </w:r>
      <w:r>
        <w:rPr>
          <w:rFonts w:eastAsia="Calibri" w:cs="Arial"/>
        </w:rPr>
        <w:t>–</w:t>
      </w:r>
      <w:r w:rsidRPr="00DE5CF6">
        <w:rPr>
          <w:rFonts w:eastAsia="Calibri" w:cs="Arial"/>
        </w:rPr>
        <w:t xml:space="preserve"> Forecast</w:t>
      </w:r>
      <w:r>
        <w:rPr>
          <w:rFonts w:eastAsia="Calibri" w:cs="Arial"/>
        </w:rPr>
        <w:t xml:space="preserve"> </w:t>
      </w:r>
      <w:r w:rsidRPr="00DE5CF6">
        <w:rPr>
          <w:rFonts w:eastAsia="Calibri" w:cs="Arial"/>
        </w:rPr>
        <w:t>outturn is within 100% - 105% of the latest approved budget</w:t>
      </w:r>
      <w:r>
        <w:rPr>
          <w:rFonts w:eastAsia="Calibri" w:cs="Arial"/>
        </w:rPr>
        <w:t>.</w:t>
      </w:r>
    </w:p>
    <w:p w:rsidR="002E7245" w:rsidRDefault="002E7245" w:rsidP="002E7245">
      <w:pPr>
        <w:tabs>
          <w:tab w:val="left" w:pos="426"/>
          <w:tab w:val="left" w:pos="1134"/>
          <w:tab w:val="left" w:pos="1560"/>
        </w:tabs>
        <w:ind w:left="426"/>
        <w:rPr>
          <w:rFonts w:eastAsia="Calibri" w:cs="Arial"/>
        </w:rPr>
      </w:pPr>
      <w:r w:rsidRPr="00DE5CF6">
        <w:rPr>
          <w:rFonts w:eastAsia="Calibri" w:cs="Arial"/>
          <w:b/>
        </w:rPr>
        <w:lastRenderedPageBreak/>
        <w:t>Red</w:t>
      </w:r>
      <w:r>
        <w:rPr>
          <w:rFonts w:eastAsia="Calibri" w:cs="Arial"/>
          <w:b/>
        </w:rPr>
        <w:t xml:space="preserve"> </w:t>
      </w:r>
      <w:r>
        <w:rPr>
          <w:rFonts w:eastAsia="Calibri" w:cs="Arial"/>
        </w:rPr>
        <w:t>–</w:t>
      </w:r>
      <w:r w:rsidRPr="00DE5CF6">
        <w:rPr>
          <w:rFonts w:eastAsia="Calibri" w:cs="Arial"/>
        </w:rPr>
        <w:t xml:space="preserve"> Forecast</w:t>
      </w:r>
      <w:r>
        <w:rPr>
          <w:rFonts w:eastAsia="Calibri" w:cs="Arial"/>
        </w:rPr>
        <w:t xml:space="preserve"> </w:t>
      </w:r>
      <w:r w:rsidRPr="00DE5CF6">
        <w:rPr>
          <w:rFonts w:eastAsia="Calibri" w:cs="Arial"/>
        </w:rPr>
        <w:t>outturn is over 105% of the latest approved budget.  Performance in this area is a potential concern and will be commented on within the report</w:t>
      </w:r>
      <w:r>
        <w:rPr>
          <w:rFonts w:eastAsia="Calibri" w:cs="Arial"/>
        </w:rPr>
        <w:t>.</w:t>
      </w:r>
    </w:p>
    <w:p w:rsidR="004828D3" w:rsidRDefault="004828D3" w:rsidP="008E5A73">
      <w:pPr>
        <w:rPr>
          <w:rFonts w:cs="Arial"/>
        </w:rPr>
      </w:pPr>
    </w:p>
    <w:p w:rsidR="005D6C51" w:rsidRPr="00D30906" w:rsidRDefault="00701296" w:rsidP="005D6C51">
      <w:pPr>
        <w:rPr>
          <w:rFonts w:cs="Arial"/>
          <w:b/>
        </w:rPr>
      </w:pPr>
      <w:r>
        <w:rPr>
          <w:rFonts w:cs="Arial"/>
          <w:b/>
        </w:rPr>
        <w:t>General Fund Revenue</w:t>
      </w:r>
    </w:p>
    <w:p w:rsidR="00E04FE9" w:rsidRDefault="00E04FE9" w:rsidP="00E04FE9">
      <w:pPr>
        <w:tabs>
          <w:tab w:val="left" w:pos="426"/>
        </w:tabs>
        <w:rPr>
          <w:rFonts w:eastAsia="Calibri" w:cs="Arial"/>
        </w:rPr>
      </w:pPr>
    </w:p>
    <w:p w:rsidR="00BA1074" w:rsidRPr="00E60EA3" w:rsidRDefault="00BA1074" w:rsidP="003473B2">
      <w:pPr>
        <w:pStyle w:val="ListParagraph"/>
        <w:ind w:left="426"/>
        <w:rPr>
          <w:rFonts w:eastAsia="Calibri" w:cs="Arial"/>
          <w:u w:val="single"/>
        </w:rPr>
      </w:pPr>
      <w:r w:rsidRPr="00E60EA3">
        <w:rPr>
          <w:rFonts w:eastAsia="Calibri" w:cs="Arial"/>
          <w:u w:val="single"/>
        </w:rPr>
        <w:t xml:space="preserve">Planning and </w:t>
      </w:r>
      <w:r w:rsidR="00945E7B">
        <w:rPr>
          <w:rFonts w:eastAsia="Calibri" w:cs="Arial"/>
          <w:u w:val="single"/>
        </w:rPr>
        <w:t>R</w:t>
      </w:r>
      <w:r w:rsidRPr="00E60EA3">
        <w:rPr>
          <w:rFonts w:eastAsia="Calibri" w:cs="Arial"/>
          <w:u w:val="single"/>
        </w:rPr>
        <w:t>egulatory</w:t>
      </w:r>
    </w:p>
    <w:p w:rsidR="00BA1074" w:rsidRPr="00E60EA3" w:rsidRDefault="0085475D" w:rsidP="003473B2">
      <w:pPr>
        <w:numPr>
          <w:ilvl w:val="0"/>
          <w:numId w:val="1"/>
        </w:numPr>
        <w:tabs>
          <w:tab w:val="left" w:pos="426"/>
        </w:tabs>
        <w:ind w:left="426" w:hanging="426"/>
        <w:rPr>
          <w:rFonts w:eastAsia="Calibri" w:cs="Arial"/>
        </w:rPr>
      </w:pPr>
      <w:r>
        <w:rPr>
          <w:rFonts w:eastAsia="Calibri" w:cs="Arial"/>
        </w:rPr>
        <w:t>D</w:t>
      </w:r>
      <w:r w:rsidR="003217AF">
        <w:rPr>
          <w:rFonts w:eastAsia="Calibri" w:cs="Arial"/>
        </w:rPr>
        <w:t>ue to staff turnover,</w:t>
      </w:r>
      <w:r w:rsidR="00A60507" w:rsidRPr="00E60EA3">
        <w:rPr>
          <w:rFonts w:eastAsia="Calibri" w:cs="Arial"/>
        </w:rPr>
        <w:t xml:space="preserve"> additional cost</w:t>
      </w:r>
      <w:r>
        <w:rPr>
          <w:rFonts w:eastAsia="Calibri" w:cs="Arial"/>
        </w:rPr>
        <w:t xml:space="preserve"> pressures of </w:t>
      </w:r>
      <w:r w:rsidR="000F409C">
        <w:rPr>
          <w:rFonts w:eastAsia="Calibri" w:cs="Arial"/>
        </w:rPr>
        <w:t xml:space="preserve">approximately </w:t>
      </w:r>
      <w:r>
        <w:rPr>
          <w:rFonts w:eastAsia="Calibri" w:cs="Arial"/>
        </w:rPr>
        <w:t>£0.200 million</w:t>
      </w:r>
      <w:r w:rsidR="00A60507" w:rsidRPr="00E60EA3">
        <w:rPr>
          <w:rFonts w:eastAsia="Calibri" w:cs="Arial"/>
        </w:rPr>
        <w:t xml:space="preserve"> </w:t>
      </w:r>
      <w:r>
        <w:rPr>
          <w:rFonts w:eastAsia="Calibri" w:cs="Arial"/>
        </w:rPr>
        <w:t xml:space="preserve">are forecast </w:t>
      </w:r>
      <w:r w:rsidR="00A60507" w:rsidRPr="00E60EA3">
        <w:rPr>
          <w:rFonts w:eastAsia="Calibri" w:cs="Arial"/>
        </w:rPr>
        <w:t>in the short term.  Officers are currently working on options to resolve the position going forward.  The in-year pressure will be funded from the corporate contingency.</w:t>
      </w:r>
    </w:p>
    <w:p w:rsidR="007C63CC" w:rsidRDefault="007C63CC" w:rsidP="003473B2">
      <w:pPr>
        <w:tabs>
          <w:tab w:val="left" w:pos="426"/>
        </w:tabs>
        <w:ind w:left="720"/>
        <w:rPr>
          <w:rFonts w:eastAsia="Calibri" w:cs="Arial"/>
        </w:rPr>
      </w:pPr>
    </w:p>
    <w:p w:rsidR="00BA1074" w:rsidRPr="003473B2" w:rsidRDefault="00BA1074" w:rsidP="003473B2">
      <w:pPr>
        <w:tabs>
          <w:tab w:val="left" w:pos="426"/>
        </w:tabs>
        <w:ind w:left="426"/>
        <w:rPr>
          <w:rFonts w:eastAsia="Calibri" w:cs="Arial"/>
          <w:u w:val="single"/>
        </w:rPr>
      </w:pPr>
      <w:r w:rsidRPr="003473B2">
        <w:rPr>
          <w:rFonts w:eastAsia="Calibri" w:cs="Arial"/>
          <w:u w:val="single"/>
        </w:rPr>
        <w:t>Housing and Property</w:t>
      </w:r>
    </w:p>
    <w:p w:rsidR="00BA1074" w:rsidRDefault="00FD4163" w:rsidP="00FD4163">
      <w:pPr>
        <w:numPr>
          <w:ilvl w:val="0"/>
          <w:numId w:val="1"/>
        </w:numPr>
        <w:tabs>
          <w:tab w:val="left" w:pos="426"/>
        </w:tabs>
        <w:ind w:left="426"/>
        <w:rPr>
          <w:rFonts w:eastAsia="Calibri" w:cs="Arial"/>
        </w:rPr>
      </w:pPr>
      <w:r>
        <w:rPr>
          <w:rFonts w:eastAsia="Calibri" w:cs="Arial"/>
        </w:rPr>
        <w:t xml:space="preserve">City Executive Board at its meeting </w:t>
      </w:r>
      <w:r w:rsidRPr="00FD4163">
        <w:rPr>
          <w:rFonts w:eastAsia="Calibri" w:cs="Arial"/>
        </w:rPr>
        <w:t xml:space="preserve">of </w:t>
      </w:r>
      <w:r w:rsidR="00A976EF">
        <w:rPr>
          <w:rFonts w:eastAsia="Calibri" w:cs="Arial"/>
        </w:rPr>
        <w:t>10</w:t>
      </w:r>
      <w:r w:rsidRPr="003703E5">
        <w:rPr>
          <w:rFonts w:eastAsia="Calibri" w:cs="Arial"/>
          <w:vertAlign w:val="superscript"/>
        </w:rPr>
        <w:t>th</w:t>
      </w:r>
      <w:r>
        <w:rPr>
          <w:rFonts w:eastAsia="Calibri" w:cs="Arial"/>
        </w:rPr>
        <w:t xml:space="preserve"> September 2015 agreed to </w:t>
      </w:r>
      <w:proofErr w:type="gramStart"/>
      <w:r w:rsidR="00973B83">
        <w:rPr>
          <w:rFonts w:eastAsia="Calibri" w:cs="Arial"/>
        </w:rPr>
        <w:t>pause</w:t>
      </w:r>
      <w:proofErr w:type="gramEnd"/>
      <w:r w:rsidR="00973B83" w:rsidRPr="00FD4163">
        <w:rPr>
          <w:rFonts w:eastAsia="Calibri" w:cs="Arial"/>
        </w:rPr>
        <w:t xml:space="preserve"> </w:t>
      </w:r>
      <w:r w:rsidR="00E84434">
        <w:rPr>
          <w:rFonts w:eastAsia="Calibri" w:cs="Arial"/>
        </w:rPr>
        <w:t xml:space="preserve">a number of </w:t>
      </w:r>
      <w:r w:rsidRPr="00FD4163">
        <w:rPr>
          <w:rFonts w:eastAsia="Calibri" w:cs="Arial"/>
        </w:rPr>
        <w:t xml:space="preserve">schemes in the </w:t>
      </w:r>
      <w:r>
        <w:rPr>
          <w:rFonts w:eastAsia="Calibri" w:cs="Arial"/>
        </w:rPr>
        <w:t xml:space="preserve">current year’s </w:t>
      </w:r>
      <w:r w:rsidRPr="00FD4163">
        <w:rPr>
          <w:rFonts w:eastAsia="Calibri" w:cs="Arial"/>
        </w:rPr>
        <w:t>Capital Programme</w:t>
      </w:r>
      <w:r>
        <w:rPr>
          <w:rFonts w:eastAsia="Calibri" w:cs="Arial"/>
        </w:rPr>
        <w:t xml:space="preserve">.  This is having a </w:t>
      </w:r>
      <w:r w:rsidR="00B561B1">
        <w:rPr>
          <w:rFonts w:eastAsia="Calibri" w:cs="Arial"/>
        </w:rPr>
        <w:t>consequential</w:t>
      </w:r>
      <w:r>
        <w:rPr>
          <w:rFonts w:eastAsia="Calibri" w:cs="Arial"/>
        </w:rPr>
        <w:t xml:space="preserve"> impact</w:t>
      </w:r>
      <w:r w:rsidRPr="00FD4163">
        <w:rPr>
          <w:rFonts w:eastAsia="Calibri" w:cs="Arial"/>
        </w:rPr>
        <w:t xml:space="preserve"> on </w:t>
      </w:r>
      <w:r>
        <w:rPr>
          <w:rFonts w:eastAsia="Calibri" w:cs="Arial"/>
        </w:rPr>
        <w:t xml:space="preserve">the capital project </w:t>
      </w:r>
      <w:r w:rsidRPr="00FD4163">
        <w:rPr>
          <w:rFonts w:eastAsia="Calibri" w:cs="Arial"/>
        </w:rPr>
        <w:t xml:space="preserve">fee income </w:t>
      </w:r>
      <w:r>
        <w:rPr>
          <w:rFonts w:eastAsia="Calibri" w:cs="Arial"/>
        </w:rPr>
        <w:t>earn</w:t>
      </w:r>
      <w:r w:rsidR="005D72F6">
        <w:rPr>
          <w:rFonts w:eastAsia="Calibri" w:cs="Arial"/>
        </w:rPr>
        <w:t>ed</w:t>
      </w:r>
      <w:r>
        <w:rPr>
          <w:rFonts w:eastAsia="Calibri" w:cs="Arial"/>
        </w:rPr>
        <w:t xml:space="preserve"> by the Housing and Property service creating a </w:t>
      </w:r>
      <w:r w:rsidR="00512DDA" w:rsidRPr="00512DDA">
        <w:rPr>
          <w:rFonts w:eastAsia="Calibri" w:cs="Arial"/>
        </w:rPr>
        <w:t>forecast budget pressure of £0.250 million</w:t>
      </w:r>
      <w:r w:rsidR="00512DDA">
        <w:rPr>
          <w:rFonts w:eastAsia="Calibri" w:cs="Arial"/>
        </w:rPr>
        <w:t>.  This</w:t>
      </w:r>
      <w:r w:rsidR="00512DDA" w:rsidRPr="00512DDA">
        <w:rPr>
          <w:rFonts w:eastAsia="Calibri" w:cs="Arial"/>
        </w:rPr>
        <w:t xml:space="preserve"> will emerge </w:t>
      </w:r>
      <w:r w:rsidR="005A6AAE">
        <w:rPr>
          <w:rFonts w:eastAsia="Calibri" w:cs="Arial"/>
        </w:rPr>
        <w:t xml:space="preserve">in its entirety </w:t>
      </w:r>
      <w:r w:rsidR="00512DDA" w:rsidRPr="00512DDA">
        <w:rPr>
          <w:rFonts w:eastAsia="Calibri" w:cs="Arial"/>
        </w:rPr>
        <w:t xml:space="preserve">if the schemes are not re-instated and will then be mitigated by a </w:t>
      </w:r>
      <w:proofErr w:type="spellStart"/>
      <w:r w:rsidR="00512DDA" w:rsidRPr="00512DDA">
        <w:rPr>
          <w:rFonts w:eastAsia="Calibri" w:cs="Arial"/>
        </w:rPr>
        <w:t>virement</w:t>
      </w:r>
      <w:proofErr w:type="spellEnd"/>
      <w:r w:rsidR="00512DDA" w:rsidRPr="00512DDA">
        <w:rPr>
          <w:rFonts w:eastAsia="Calibri" w:cs="Arial"/>
        </w:rPr>
        <w:t xml:space="preserve"> from direct revenue funding</w:t>
      </w:r>
      <w:r w:rsidR="00B561B1">
        <w:rPr>
          <w:rFonts w:eastAsia="Calibri" w:cs="Arial"/>
        </w:rPr>
        <w:t xml:space="preserve"> which will negate the variance</w:t>
      </w:r>
      <w:r w:rsidR="00512DDA" w:rsidRPr="00512DDA">
        <w:rPr>
          <w:rFonts w:eastAsia="Calibri" w:cs="Arial"/>
        </w:rPr>
        <w:t>.</w:t>
      </w:r>
    </w:p>
    <w:p w:rsidR="00FD4163" w:rsidRDefault="00FD4163" w:rsidP="00FD4163">
      <w:pPr>
        <w:tabs>
          <w:tab w:val="left" w:pos="426"/>
        </w:tabs>
        <w:ind w:left="426"/>
        <w:rPr>
          <w:rFonts w:eastAsia="Calibri" w:cs="Arial"/>
        </w:rPr>
      </w:pPr>
    </w:p>
    <w:p w:rsidR="005C4131" w:rsidRPr="0025114E" w:rsidRDefault="005C4131" w:rsidP="005C4131">
      <w:pPr>
        <w:tabs>
          <w:tab w:val="left" w:pos="426"/>
        </w:tabs>
        <w:ind w:left="426"/>
        <w:rPr>
          <w:rFonts w:eastAsia="Calibri" w:cs="Arial"/>
          <w:u w:val="single"/>
        </w:rPr>
      </w:pPr>
      <w:r>
        <w:rPr>
          <w:rFonts w:eastAsia="Calibri" w:cs="Arial"/>
          <w:u w:val="single"/>
        </w:rPr>
        <w:t xml:space="preserve">Dry </w:t>
      </w:r>
      <w:proofErr w:type="spellStart"/>
      <w:r>
        <w:rPr>
          <w:rFonts w:eastAsia="Calibri" w:cs="Arial"/>
          <w:u w:val="single"/>
        </w:rPr>
        <w:t>Recyclate</w:t>
      </w:r>
      <w:proofErr w:type="spellEnd"/>
    </w:p>
    <w:p w:rsidR="005C4131" w:rsidRPr="00172CC0" w:rsidRDefault="005C4131" w:rsidP="00BD4A81">
      <w:pPr>
        <w:numPr>
          <w:ilvl w:val="0"/>
          <w:numId w:val="1"/>
        </w:numPr>
        <w:tabs>
          <w:tab w:val="left" w:pos="426"/>
        </w:tabs>
        <w:ind w:left="426" w:hanging="426"/>
        <w:rPr>
          <w:rFonts w:eastAsia="Calibri" w:cs="Arial"/>
        </w:rPr>
      </w:pPr>
      <w:r w:rsidRPr="005C4131">
        <w:rPr>
          <w:rFonts w:eastAsia="Calibri" w:cs="Arial"/>
        </w:rPr>
        <w:t xml:space="preserve">A budget pressure was identified in December 2014 in relation to the cost of disposal of dry </w:t>
      </w:r>
      <w:proofErr w:type="spellStart"/>
      <w:r w:rsidRPr="005C4131">
        <w:rPr>
          <w:rFonts w:eastAsia="Calibri" w:cs="Arial"/>
        </w:rPr>
        <w:t>recyclate</w:t>
      </w:r>
      <w:proofErr w:type="spellEnd"/>
      <w:r w:rsidRPr="005C4131">
        <w:rPr>
          <w:rFonts w:eastAsia="Calibri" w:cs="Arial"/>
        </w:rPr>
        <w:t xml:space="preserve">.  </w:t>
      </w:r>
      <w:r w:rsidR="005D72F6">
        <w:rPr>
          <w:rFonts w:eastAsia="Calibri" w:cs="Arial"/>
        </w:rPr>
        <w:t>An</w:t>
      </w:r>
      <w:r w:rsidR="005D72F6" w:rsidRPr="005D72F6">
        <w:rPr>
          <w:rFonts w:eastAsia="Calibri" w:cs="Arial"/>
        </w:rPr>
        <w:t xml:space="preserve"> OJEU </w:t>
      </w:r>
      <w:r w:rsidR="005D72F6">
        <w:rPr>
          <w:rFonts w:eastAsia="Calibri" w:cs="Arial"/>
        </w:rPr>
        <w:t xml:space="preserve">(Official Journal of the European Union) </w:t>
      </w:r>
      <w:r w:rsidR="005D72F6" w:rsidRPr="005D72F6">
        <w:rPr>
          <w:rFonts w:eastAsia="Calibri" w:cs="Arial"/>
        </w:rPr>
        <w:t>tender process has been completed and new contracts are in place effective from 6 October 2015. The financial impact for 2015/16 is £</w:t>
      </w:r>
      <w:r w:rsidR="005D72F6">
        <w:rPr>
          <w:rFonts w:eastAsia="Calibri" w:cs="Arial"/>
        </w:rPr>
        <w:t>0.</w:t>
      </w:r>
      <w:r w:rsidR="005D72F6" w:rsidRPr="005D72F6">
        <w:rPr>
          <w:rFonts w:eastAsia="Calibri" w:cs="Arial"/>
        </w:rPr>
        <w:t>500</w:t>
      </w:r>
      <w:r w:rsidR="005D72F6">
        <w:rPr>
          <w:rFonts w:eastAsia="Calibri" w:cs="Arial"/>
        </w:rPr>
        <w:t xml:space="preserve"> million,</w:t>
      </w:r>
      <w:r w:rsidR="005D72F6" w:rsidRPr="005D72F6">
        <w:rPr>
          <w:rFonts w:eastAsia="Calibri" w:cs="Arial"/>
        </w:rPr>
        <w:t xml:space="preserve"> </w:t>
      </w:r>
      <w:r w:rsidR="005D72F6">
        <w:rPr>
          <w:rFonts w:eastAsia="Calibri" w:cs="Arial"/>
        </w:rPr>
        <w:t>based on</w:t>
      </w:r>
      <w:r w:rsidR="005D72F6" w:rsidRPr="005D72F6">
        <w:rPr>
          <w:rFonts w:eastAsia="Calibri" w:cs="Arial"/>
        </w:rPr>
        <w:t xml:space="preserve"> an average annual tonnage of 16,000 tons</w:t>
      </w:r>
      <w:r w:rsidR="005D72F6">
        <w:rPr>
          <w:rFonts w:eastAsia="Calibri" w:cs="Arial"/>
        </w:rPr>
        <w:t>,</w:t>
      </w:r>
      <w:r w:rsidR="005D72F6" w:rsidRPr="005D72F6">
        <w:rPr>
          <w:rFonts w:eastAsia="Calibri" w:cs="Arial"/>
        </w:rPr>
        <w:t xml:space="preserve"> which the service is expecting to fully mitigate through additional </w:t>
      </w:r>
      <w:r w:rsidR="00B561B1">
        <w:rPr>
          <w:rFonts w:eastAsia="Calibri" w:cs="Arial"/>
        </w:rPr>
        <w:t xml:space="preserve">external </w:t>
      </w:r>
      <w:r w:rsidR="005D72F6" w:rsidRPr="005D72F6">
        <w:rPr>
          <w:rFonts w:eastAsia="Calibri" w:cs="Arial"/>
        </w:rPr>
        <w:t xml:space="preserve">income and </w:t>
      </w:r>
      <w:r w:rsidR="00B561B1">
        <w:rPr>
          <w:rFonts w:eastAsia="Calibri" w:cs="Arial"/>
        </w:rPr>
        <w:t xml:space="preserve">staff related </w:t>
      </w:r>
      <w:r w:rsidR="005D72F6" w:rsidRPr="005D72F6">
        <w:rPr>
          <w:rFonts w:eastAsia="Calibri" w:cs="Arial"/>
        </w:rPr>
        <w:t xml:space="preserve">savings. </w:t>
      </w:r>
      <w:r w:rsidR="005D72F6">
        <w:rPr>
          <w:rFonts w:eastAsia="Calibri" w:cs="Arial"/>
        </w:rPr>
        <w:t xml:space="preserve"> </w:t>
      </w:r>
      <w:r w:rsidR="005D72F6" w:rsidRPr="005D72F6">
        <w:rPr>
          <w:rFonts w:eastAsia="Calibri" w:cs="Arial"/>
        </w:rPr>
        <w:t xml:space="preserve">Council officers are considering other options in order to determine the best way to mitigate this pressure going forward but this pressure (£1m in full year) will continue during 2016/17 and </w:t>
      </w:r>
      <w:r w:rsidR="005D72F6">
        <w:rPr>
          <w:rFonts w:eastAsia="Calibri" w:cs="Arial"/>
        </w:rPr>
        <w:t xml:space="preserve">will be </w:t>
      </w:r>
      <w:r w:rsidR="005D72F6" w:rsidRPr="005D72F6">
        <w:rPr>
          <w:rFonts w:eastAsia="Calibri" w:cs="Arial"/>
        </w:rPr>
        <w:t xml:space="preserve">reflected </w:t>
      </w:r>
      <w:r w:rsidR="005D72F6">
        <w:rPr>
          <w:rFonts w:eastAsia="Calibri" w:cs="Arial"/>
        </w:rPr>
        <w:t>in the 2016/17 budget setting process.</w:t>
      </w:r>
    </w:p>
    <w:p w:rsidR="005313BC" w:rsidRDefault="005313BC" w:rsidP="00172CC0">
      <w:pPr>
        <w:tabs>
          <w:tab w:val="left" w:pos="709"/>
        </w:tabs>
        <w:ind w:left="426"/>
        <w:rPr>
          <w:rFonts w:eastAsia="Calibri" w:cs="Arial"/>
        </w:rPr>
      </w:pPr>
    </w:p>
    <w:p w:rsidR="00217AFF" w:rsidRPr="0025114E" w:rsidRDefault="00217AFF" w:rsidP="00217AFF">
      <w:pPr>
        <w:tabs>
          <w:tab w:val="left" w:pos="426"/>
        </w:tabs>
        <w:ind w:left="426"/>
        <w:rPr>
          <w:rFonts w:eastAsia="Calibri" w:cs="Arial"/>
          <w:u w:val="single"/>
        </w:rPr>
      </w:pPr>
      <w:r>
        <w:rPr>
          <w:rFonts w:eastAsia="Calibri" w:cs="Arial"/>
          <w:u w:val="single"/>
        </w:rPr>
        <w:t>Corporate Budgets</w:t>
      </w:r>
    </w:p>
    <w:p w:rsidR="00431E84" w:rsidRDefault="00431E84" w:rsidP="00431E84">
      <w:pPr>
        <w:pStyle w:val="ListParagraph"/>
        <w:numPr>
          <w:ilvl w:val="0"/>
          <w:numId w:val="1"/>
        </w:numPr>
        <w:ind w:left="426"/>
        <w:rPr>
          <w:rFonts w:eastAsia="Calibri" w:cs="Arial"/>
        </w:rPr>
      </w:pPr>
      <w:r w:rsidRPr="00431E84">
        <w:rPr>
          <w:rFonts w:eastAsia="Calibri" w:cs="Arial"/>
        </w:rPr>
        <w:t xml:space="preserve">The </w:t>
      </w:r>
      <w:r>
        <w:rPr>
          <w:rFonts w:eastAsia="Calibri" w:cs="Arial"/>
        </w:rPr>
        <w:t xml:space="preserve">corporate forecast contains the </w:t>
      </w:r>
      <w:r w:rsidRPr="00431E84">
        <w:rPr>
          <w:rFonts w:eastAsia="Calibri" w:cs="Arial"/>
        </w:rPr>
        <w:t xml:space="preserve">mitigations of </w:t>
      </w:r>
      <w:proofErr w:type="gramStart"/>
      <w:r w:rsidRPr="00431E84">
        <w:rPr>
          <w:rFonts w:eastAsia="Calibri" w:cs="Arial"/>
        </w:rPr>
        <w:t>£(</w:t>
      </w:r>
      <w:proofErr w:type="gramEnd"/>
      <w:r w:rsidRPr="00431E84">
        <w:rPr>
          <w:rFonts w:eastAsia="Calibri" w:cs="Arial"/>
        </w:rPr>
        <w:t>0.200) million and £(0.250) million for Planning and Regulatory and Housing and Property pressures respectively</w:t>
      </w:r>
      <w:r>
        <w:rPr>
          <w:rFonts w:eastAsia="Calibri" w:cs="Arial"/>
        </w:rPr>
        <w:t xml:space="preserve"> totalling £(0.450) million.  T</w:t>
      </w:r>
      <w:r w:rsidRPr="00431E84">
        <w:rPr>
          <w:rFonts w:eastAsia="Calibri" w:cs="Arial"/>
        </w:rPr>
        <w:t xml:space="preserve">ogether with the £0.136 million underachievement of investment income </w:t>
      </w:r>
      <w:r>
        <w:rPr>
          <w:rFonts w:eastAsia="Calibri" w:cs="Arial"/>
        </w:rPr>
        <w:t xml:space="preserve">(detailed below) this </w:t>
      </w:r>
      <w:r w:rsidRPr="00431E84">
        <w:rPr>
          <w:rFonts w:eastAsia="Calibri" w:cs="Arial"/>
        </w:rPr>
        <w:t>result</w:t>
      </w:r>
      <w:r>
        <w:rPr>
          <w:rFonts w:eastAsia="Calibri" w:cs="Arial"/>
        </w:rPr>
        <w:t>s</w:t>
      </w:r>
      <w:r w:rsidRPr="00431E84">
        <w:rPr>
          <w:rFonts w:eastAsia="Calibri" w:cs="Arial"/>
        </w:rPr>
        <w:t xml:space="preserve"> in an overall corporate variance of </w:t>
      </w:r>
      <w:proofErr w:type="gramStart"/>
      <w:r w:rsidRPr="00431E84">
        <w:rPr>
          <w:rFonts w:eastAsia="Calibri" w:cs="Arial"/>
        </w:rPr>
        <w:t>£(</w:t>
      </w:r>
      <w:proofErr w:type="gramEnd"/>
      <w:r w:rsidRPr="00431E84">
        <w:rPr>
          <w:rFonts w:eastAsia="Calibri" w:cs="Arial"/>
        </w:rPr>
        <w:t>0.314) million.</w:t>
      </w:r>
    </w:p>
    <w:p w:rsidR="00431E84" w:rsidRPr="00431E84" w:rsidRDefault="00431E84" w:rsidP="00431E84">
      <w:pPr>
        <w:pStyle w:val="ListParagraph"/>
        <w:ind w:left="426"/>
        <w:rPr>
          <w:rFonts w:eastAsia="Calibri" w:cs="Arial"/>
        </w:rPr>
      </w:pPr>
    </w:p>
    <w:p w:rsidR="00217AFF" w:rsidRDefault="00217AFF" w:rsidP="00217AFF">
      <w:pPr>
        <w:numPr>
          <w:ilvl w:val="0"/>
          <w:numId w:val="1"/>
        </w:numPr>
        <w:tabs>
          <w:tab w:val="left" w:pos="426"/>
        </w:tabs>
        <w:ind w:left="426"/>
        <w:rPr>
          <w:rFonts w:eastAsia="Calibri" w:cs="Arial"/>
        </w:rPr>
      </w:pPr>
      <w:r>
        <w:rPr>
          <w:rFonts w:eastAsia="Calibri" w:cs="Arial"/>
        </w:rPr>
        <w:t xml:space="preserve">At the time the interest income </w:t>
      </w:r>
      <w:r w:rsidR="00431E84">
        <w:rPr>
          <w:rFonts w:eastAsia="Calibri" w:cs="Arial"/>
        </w:rPr>
        <w:t xml:space="preserve">on cash balances </w:t>
      </w:r>
      <w:r>
        <w:rPr>
          <w:rFonts w:eastAsia="Calibri" w:cs="Arial"/>
        </w:rPr>
        <w:t xml:space="preserve">budget was set, interest rates were widely </w:t>
      </w:r>
      <w:r w:rsidR="00BB3AB7">
        <w:rPr>
          <w:rFonts w:eastAsia="Calibri" w:cs="Arial"/>
        </w:rPr>
        <w:t xml:space="preserve">projected </w:t>
      </w:r>
      <w:r>
        <w:rPr>
          <w:rFonts w:eastAsia="Calibri" w:cs="Arial"/>
        </w:rPr>
        <w:t xml:space="preserve">to rise throughout 2015/16.  Current forecasts are that there will be no rise in the </w:t>
      </w:r>
      <w:r w:rsidR="00971F25">
        <w:rPr>
          <w:rFonts w:eastAsia="Calibri" w:cs="Arial"/>
        </w:rPr>
        <w:t>B</w:t>
      </w:r>
      <w:r>
        <w:rPr>
          <w:rFonts w:eastAsia="Calibri" w:cs="Arial"/>
        </w:rPr>
        <w:t xml:space="preserve">ase </w:t>
      </w:r>
      <w:r w:rsidR="00971F25">
        <w:rPr>
          <w:rFonts w:eastAsia="Calibri" w:cs="Arial"/>
        </w:rPr>
        <w:t>R</w:t>
      </w:r>
      <w:r>
        <w:rPr>
          <w:rFonts w:eastAsia="Calibri" w:cs="Arial"/>
        </w:rPr>
        <w:t>ate until the first quarter of 2016 at the earliest</w:t>
      </w:r>
      <w:r w:rsidR="00BB3AB7">
        <w:rPr>
          <w:rFonts w:eastAsia="Calibri" w:cs="Arial"/>
        </w:rPr>
        <w:t>,</w:t>
      </w:r>
      <w:r>
        <w:rPr>
          <w:rFonts w:eastAsia="Calibri" w:cs="Arial"/>
        </w:rPr>
        <w:t xml:space="preserve"> but more likely the fourth quarter of 2016.  </w:t>
      </w:r>
      <w:r w:rsidR="00BB3AB7">
        <w:rPr>
          <w:rFonts w:eastAsia="Calibri" w:cs="Arial"/>
        </w:rPr>
        <w:t xml:space="preserve">Hence </w:t>
      </w:r>
      <w:r>
        <w:rPr>
          <w:rFonts w:eastAsia="Calibri" w:cs="Arial"/>
        </w:rPr>
        <w:t>a</w:t>
      </w:r>
      <w:r w:rsidR="00BB3AB7">
        <w:rPr>
          <w:rFonts w:eastAsia="Calibri" w:cs="Arial"/>
        </w:rPr>
        <w:t xml:space="preserve">n in year </w:t>
      </w:r>
      <w:r>
        <w:rPr>
          <w:rFonts w:eastAsia="Calibri" w:cs="Arial"/>
        </w:rPr>
        <w:t xml:space="preserve">pressure of </w:t>
      </w:r>
      <w:r w:rsidR="00512DDA">
        <w:rPr>
          <w:rFonts w:eastAsia="Calibri" w:cs="Arial"/>
        </w:rPr>
        <w:t>£</w:t>
      </w:r>
      <w:r>
        <w:rPr>
          <w:rFonts w:eastAsia="Calibri" w:cs="Arial"/>
        </w:rPr>
        <w:t>0.</w:t>
      </w:r>
      <w:r w:rsidR="00787851">
        <w:rPr>
          <w:rFonts w:eastAsia="Calibri" w:cs="Arial"/>
        </w:rPr>
        <w:t>136</w:t>
      </w:r>
      <w:r>
        <w:rPr>
          <w:rFonts w:eastAsia="Calibri" w:cs="Arial"/>
        </w:rPr>
        <w:t xml:space="preserve"> million</w:t>
      </w:r>
      <w:r w:rsidR="00BB3AB7">
        <w:rPr>
          <w:rFonts w:eastAsia="Calibri" w:cs="Arial"/>
        </w:rPr>
        <w:t xml:space="preserve"> is projected</w:t>
      </w:r>
      <w:r>
        <w:rPr>
          <w:rFonts w:eastAsia="Calibri" w:cs="Arial"/>
        </w:rPr>
        <w:t xml:space="preserve">.  </w:t>
      </w:r>
    </w:p>
    <w:p w:rsidR="00512DDA" w:rsidRDefault="00512DDA" w:rsidP="00512DDA">
      <w:pPr>
        <w:tabs>
          <w:tab w:val="left" w:pos="426"/>
        </w:tabs>
        <w:ind w:left="426"/>
        <w:rPr>
          <w:rFonts w:eastAsia="Calibri" w:cs="Arial"/>
        </w:rPr>
      </w:pPr>
    </w:p>
    <w:p w:rsidR="00006A11" w:rsidRDefault="00006A11" w:rsidP="00006A11">
      <w:pPr>
        <w:rPr>
          <w:rFonts w:cs="Arial"/>
          <w:b/>
        </w:rPr>
      </w:pPr>
      <w:r>
        <w:rPr>
          <w:rFonts w:cs="Arial"/>
          <w:b/>
        </w:rPr>
        <w:t>Performance</w:t>
      </w:r>
    </w:p>
    <w:p w:rsidR="00006A11" w:rsidRDefault="00006A11" w:rsidP="00006A11">
      <w:pPr>
        <w:pStyle w:val="ListParagraph"/>
        <w:ind w:left="426"/>
        <w:rPr>
          <w:rFonts w:eastAsia="Calibri" w:cs="Arial"/>
        </w:rPr>
      </w:pPr>
    </w:p>
    <w:p w:rsidR="00006A11" w:rsidRPr="00172CC0" w:rsidRDefault="00006A11" w:rsidP="00217AFF">
      <w:pPr>
        <w:numPr>
          <w:ilvl w:val="0"/>
          <w:numId w:val="1"/>
        </w:numPr>
        <w:tabs>
          <w:tab w:val="left" w:pos="426"/>
        </w:tabs>
        <w:ind w:left="426"/>
        <w:rPr>
          <w:rFonts w:eastAsia="Calibri" w:cs="Arial"/>
        </w:rPr>
      </w:pPr>
      <w:r w:rsidRPr="00006A11">
        <w:rPr>
          <w:rFonts w:eastAsia="Calibri" w:cs="Arial"/>
        </w:rPr>
        <w:t xml:space="preserve">Corporate and Directorate performance is reported within Appendices A to E.  Of the nineteen Corporate Performance Indicators five are not on </w:t>
      </w:r>
      <w:r w:rsidRPr="00006A11">
        <w:rPr>
          <w:rFonts w:eastAsia="Calibri" w:cs="Arial"/>
        </w:rPr>
        <w:lastRenderedPageBreak/>
        <w:t>target: two are outside acceptable tolerance limits and three are within acceptable tolerance limits as set out below.  More detail is contained in Appendix A.  Those outside acceptable tolerance limits are as follows:</w:t>
      </w:r>
    </w:p>
    <w:p w:rsidR="00211DE3" w:rsidRPr="00F90A54" w:rsidRDefault="00F90A54" w:rsidP="00E30012">
      <w:pPr>
        <w:numPr>
          <w:ilvl w:val="0"/>
          <w:numId w:val="15"/>
        </w:numPr>
        <w:rPr>
          <w:rFonts w:cs="Arial"/>
        </w:rPr>
      </w:pPr>
      <w:r w:rsidRPr="00F90A54">
        <w:rPr>
          <w:rFonts w:cs="Arial"/>
          <w:b/>
        </w:rPr>
        <w:t xml:space="preserve">The number of Council apprenticeships created through Council investment for those who live in Oxford </w:t>
      </w:r>
      <w:r w:rsidR="009B5A72" w:rsidRPr="00F90A54">
        <w:rPr>
          <w:rFonts w:cs="Arial"/>
          <w:b/>
        </w:rPr>
        <w:t>-</w:t>
      </w:r>
      <w:r w:rsidR="009B5A72" w:rsidRPr="00F90A54">
        <w:rPr>
          <w:rFonts w:cs="Arial"/>
        </w:rPr>
        <w:t xml:space="preserve"> </w:t>
      </w:r>
      <w:r w:rsidRPr="00F90A54">
        <w:rPr>
          <w:rFonts w:cs="Arial"/>
        </w:rPr>
        <w:t xml:space="preserve">18 apprentices were employed in September, short of the target of 26. </w:t>
      </w:r>
      <w:r w:rsidR="00EC2CDE">
        <w:rPr>
          <w:rFonts w:cs="Arial"/>
        </w:rPr>
        <w:t>This is explained by the fact that s</w:t>
      </w:r>
      <w:r w:rsidRPr="00F90A54">
        <w:rPr>
          <w:rFonts w:cs="Arial"/>
        </w:rPr>
        <w:t xml:space="preserve">ome apprentices in Direct Services have completed their training and have </w:t>
      </w:r>
      <w:r w:rsidR="00746E1A">
        <w:rPr>
          <w:rFonts w:cs="Arial"/>
        </w:rPr>
        <w:t xml:space="preserve">six </w:t>
      </w:r>
      <w:r w:rsidRPr="00F90A54">
        <w:rPr>
          <w:rFonts w:cs="Arial"/>
        </w:rPr>
        <w:t>now been appointed into full time roles. Two service areas are not replacing apprentices that did not progress beyond their probation period. Other services are in the process of putting together bids or planning to recruit to apprenticeships but these ha</w:t>
      </w:r>
      <w:r w:rsidR="00DE7BDC">
        <w:rPr>
          <w:rFonts w:cs="Arial"/>
        </w:rPr>
        <w:t>ve</w:t>
      </w:r>
      <w:r w:rsidRPr="00F90A54">
        <w:rPr>
          <w:rFonts w:cs="Arial"/>
        </w:rPr>
        <w:t xml:space="preserve"> not </w:t>
      </w:r>
      <w:r w:rsidR="00DE7BDC">
        <w:rPr>
          <w:rFonts w:cs="Arial"/>
        </w:rPr>
        <w:t xml:space="preserve">yet </w:t>
      </w:r>
      <w:r w:rsidRPr="00F90A54">
        <w:rPr>
          <w:rFonts w:cs="Arial"/>
        </w:rPr>
        <w:t>come to fruition. In addition, apprenticeship candidates have reduced during recruitment campaigns, with many potential applicants opting to stay in full time education.</w:t>
      </w:r>
    </w:p>
    <w:p w:rsidR="00211DE3" w:rsidRPr="00F90A54" w:rsidRDefault="00F90A54" w:rsidP="00E30012">
      <w:pPr>
        <w:numPr>
          <w:ilvl w:val="0"/>
          <w:numId w:val="15"/>
        </w:numPr>
        <w:rPr>
          <w:rFonts w:cs="Arial"/>
        </w:rPr>
      </w:pPr>
      <w:r>
        <w:rPr>
          <w:rFonts w:cs="Arial"/>
          <w:b/>
        </w:rPr>
        <w:t xml:space="preserve">The number of </w:t>
      </w:r>
      <w:r w:rsidRPr="00F90A54">
        <w:rPr>
          <w:rFonts w:cs="Arial"/>
          <w:b/>
        </w:rPr>
        <w:t xml:space="preserve">training places and jobs created as a result of Council investment and leadership </w:t>
      </w:r>
      <w:r w:rsidR="00211DE3" w:rsidRPr="00F90A54">
        <w:rPr>
          <w:rFonts w:cs="Arial"/>
        </w:rPr>
        <w:t>–</w:t>
      </w:r>
      <w:r w:rsidRPr="00F90A54">
        <w:rPr>
          <w:rFonts w:cs="Arial"/>
        </w:rPr>
        <w:t xml:space="preserve"> current performance is 432 jobs and training places against a second quarter target of 487. However, information has not yet been received from two construction contractors, and so may be higher than shown. We are pressing for the missing data</w:t>
      </w:r>
    </w:p>
    <w:p w:rsidR="00ED0EEB" w:rsidRDefault="00ED0EEB" w:rsidP="002F7B75">
      <w:pPr>
        <w:ind w:left="426"/>
        <w:rPr>
          <w:rFonts w:cs="Arial"/>
          <w:u w:val="single"/>
        </w:rPr>
      </w:pPr>
    </w:p>
    <w:p w:rsidR="002F7B75" w:rsidRDefault="002F7B75" w:rsidP="002F7B75">
      <w:pPr>
        <w:ind w:left="426"/>
        <w:rPr>
          <w:rFonts w:cs="Arial"/>
          <w:u w:val="single"/>
        </w:rPr>
      </w:pPr>
      <w:r w:rsidRPr="002F7B75">
        <w:rPr>
          <w:rFonts w:cs="Arial"/>
          <w:u w:val="single"/>
        </w:rPr>
        <w:t>Within acceptable tolerance limits</w:t>
      </w:r>
    </w:p>
    <w:p w:rsidR="009B5A72" w:rsidRPr="00A72087" w:rsidRDefault="009B5A72" w:rsidP="002F7B75">
      <w:pPr>
        <w:ind w:left="426"/>
        <w:rPr>
          <w:rFonts w:cs="Arial"/>
        </w:rPr>
      </w:pPr>
      <w:r w:rsidRPr="00A72087">
        <w:rPr>
          <w:rFonts w:cs="Arial"/>
        </w:rPr>
        <w:t>There are t</w:t>
      </w:r>
      <w:r w:rsidR="00355131">
        <w:rPr>
          <w:rFonts w:cs="Arial"/>
        </w:rPr>
        <w:t>hree</w:t>
      </w:r>
      <w:r w:rsidRPr="00A72087">
        <w:rPr>
          <w:rFonts w:cs="Arial"/>
        </w:rPr>
        <w:t xml:space="preserve"> performance targets wh</w:t>
      </w:r>
      <w:r w:rsidR="00DE6018" w:rsidRPr="00A72087">
        <w:rPr>
          <w:rFonts w:cs="Arial"/>
        </w:rPr>
        <w:t>ich,</w:t>
      </w:r>
      <w:r w:rsidRPr="00A72087">
        <w:rPr>
          <w:rFonts w:cs="Arial"/>
        </w:rPr>
        <w:t xml:space="preserve"> although the target has not completely been met</w:t>
      </w:r>
      <w:r w:rsidR="00DE6018" w:rsidRPr="00A72087">
        <w:rPr>
          <w:rFonts w:cs="Arial"/>
        </w:rPr>
        <w:t>,</w:t>
      </w:r>
      <w:r w:rsidRPr="00A72087">
        <w:rPr>
          <w:rFonts w:cs="Arial"/>
        </w:rPr>
        <w:t xml:space="preserve"> are with</w:t>
      </w:r>
      <w:r w:rsidR="00DE6018" w:rsidRPr="00A72087">
        <w:rPr>
          <w:rFonts w:cs="Arial"/>
        </w:rPr>
        <w:t>i</w:t>
      </w:r>
      <w:r w:rsidRPr="00A72087">
        <w:rPr>
          <w:rFonts w:cs="Arial"/>
        </w:rPr>
        <w:t>n acceptance tolerance limits and do not give cause for concern at this stage</w:t>
      </w:r>
      <w:r w:rsidR="00DE6018" w:rsidRPr="00A72087">
        <w:rPr>
          <w:rFonts w:cs="Arial"/>
        </w:rPr>
        <w:t>:</w:t>
      </w:r>
    </w:p>
    <w:p w:rsidR="002F7B75" w:rsidRPr="00A72087" w:rsidRDefault="002F7B75" w:rsidP="002F7B75">
      <w:pPr>
        <w:numPr>
          <w:ilvl w:val="0"/>
          <w:numId w:val="15"/>
        </w:numPr>
        <w:rPr>
          <w:rFonts w:cs="Arial"/>
        </w:rPr>
      </w:pPr>
      <w:r w:rsidRPr="00A72087">
        <w:rPr>
          <w:rFonts w:cs="Arial"/>
        </w:rPr>
        <w:t>Delivery of Efficiency Savings</w:t>
      </w:r>
    </w:p>
    <w:p w:rsidR="00A72087" w:rsidRPr="00A72087" w:rsidRDefault="00A72087" w:rsidP="00A72087">
      <w:pPr>
        <w:numPr>
          <w:ilvl w:val="0"/>
          <w:numId w:val="15"/>
        </w:numPr>
        <w:rPr>
          <w:rFonts w:cs="Arial"/>
        </w:rPr>
      </w:pPr>
      <w:r w:rsidRPr="00A72087">
        <w:rPr>
          <w:rFonts w:cs="Arial"/>
        </w:rPr>
        <w:t>The number of households in Oxford in temporary accommodation</w:t>
      </w:r>
    </w:p>
    <w:p w:rsidR="00A72087" w:rsidRPr="002F7B75" w:rsidRDefault="00A72087" w:rsidP="00A72087">
      <w:pPr>
        <w:numPr>
          <w:ilvl w:val="0"/>
          <w:numId w:val="15"/>
        </w:numPr>
        <w:rPr>
          <w:rFonts w:cs="Arial"/>
        </w:rPr>
      </w:pPr>
      <w:r w:rsidRPr="00A72087">
        <w:rPr>
          <w:rFonts w:cs="Arial"/>
        </w:rPr>
        <w:t>The number of young people accessing youth engagement projects and activities outside school hours</w:t>
      </w:r>
    </w:p>
    <w:p w:rsidR="00283734" w:rsidRPr="004828D3" w:rsidRDefault="00283734" w:rsidP="00283734">
      <w:pPr>
        <w:rPr>
          <w:rFonts w:cs="Arial"/>
        </w:rPr>
      </w:pPr>
    </w:p>
    <w:p w:rsidR="00714894" w:rsidRDefault="00714894" w:rsidP="00445174">
      <w:pPr>
        <w:rPr>
          <w:rFonts w:cs="Arial"/>
          <w:b/>
        </w:rPr>
      </w:pPr>
      <w:r>
        <w:rPr>
          <w:rFonts w:cs="Arial"/>
          <w:b/>
        </w:rPr>
        <w:t>Risk</w:t>
      </w:r>
    </w:p>
    <w:p w:rsidR="008E5A73" w:rsidRDefault="008E5A73" w:rsidP="00445174">
      <w:pPr>
        <w:rPr>
          <w:rFonts w:cs="Arial"/>
          <w:b/>
        </w:rPr>
      </w:pPr>
    </w:p>
    <w:p w:rsidR="0069059C" w:rsidRDefault="0069059C" w:rsidP="00BD4A81">
      <w:pPr>
        <w:numPr>
          <w:ilvl w:val="0"/>
          <w:numId w:val="1"/>
        </w:numPr>
        <w:ind w:left="426" w:hanging="426"/>
        <w:rPr>
          <w:rFonts w:cs="Arial"/>
        </w:rPr>
      </w:pPr>
      <w:r>
        <w:rPr>
          <w:rFonts w:cs="Arial"/>
        </w:rPr>
        <w:t xml:space="preserve">Corporate and Directorate risks are reported within Appendices A to </w:t>
      </w:r>
      <w:r w:rsidR="005D546F">
        <w:rPr>
          <w:rFonts w:cs="Arial"/>
        </w:rPr>
        <w:t>D</w:t>
      </w:r>
      <w:r>
        <w:rPr>
          <w:rFonts w:cs="Arial"/>
        </w:rPr>
        <w:t>.  Risks are measured according to t</w:t>
      </w:r>
      <w:r w:rsidRPr="0069059C">
        <w:rPr>
          <w:rFonts w:cs="Arial"/>
        </w:rPr>
        <w:t xml:space="preserve">he matrix </w:t>
      </w:r>
      <w:r>
        <w:rPr>
          <w:rFonts w:cs="Arial"/>
        </w:rPr>
        <w:t xml:space="preserve">shown </w:t>
      </w:r>
      <w:r w:rsidRPr="0069059C">
        <w:rPr>
          <w:rFonts w:cs="Arial"/>
        </w:rPr>
        <w:t>below:</w:t>
      </w:r>
    </w:p>
    <w:p w:rsidR="0069059C" w:rsidRPr="0069059C" w:rsidRDefault="0069059C" w:rsidP="0069059C">
      <w:pPr>
        <w:ind w:left="426"/>
        <w:rPr>
          <w:rFonts w:cs="Arial"/>
        </w:rPr>
      </w:pPr>
    </w:p>
    <w:p w:rsidR="00B647CA" w:rsidRPr="007F3944" w:rsidRDefault="009D6722" w:rsidP="007F3944">
      <w:pPr>
        <w:ind w:left="426"/>
      </w:pPr>
      <w:r>
        <w:rPr>
          <w:noProof/>
          <w:lang w:eastAsia="en-GB"/>
        </w:rPr>
        <w:drawing>
          <wp:inline distT="0" distB="0" distL="0" distR="0" wp14:anchorId="6CE49DDE" wp14:editId="198943F6">
            <wp:extent cx="4375150" cy="2190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5150" cy="2190750"/>
                    </a:xfrm>
                    <a:prstGeom prst="rect">
                      <a:avLst/>
                    </a:prstGeom>
                    <a:noFill/>
                    <a:ln>
                      <a:noFill/>
                    </a:ln>
                  </pic:spPr>
                </pic:pic>
              </a:graphicData>
            </a:graphic>
          </wp:inline>
        </w:drawing>
      </w:r>
    </w:p>
    <w:p w:rsidR="00A976EF" w:rsidRDefault="00BF2C68" w:rsidP="00BD4A81">
      <w:pPr>
        <w:numPr>
          <w:ilvl w:val="0"/>
          <w:numId w:val="1"/>
        </w:numPr>
        <w:ind w:left="426" w:hanging="426"/>
        <w:rPr>
          <w:rFonts w:cs="Arial"/>
        </w:rPr>
      </w:pPr>
      <w:r w:rsidRPr="00A976EF">
        <w:rPr>
          <w:rFonts w:cs="Arial"/>
        </w:rPr>
        <w:lastRenderedPageBreak/>
        <w:t xml:space="preserve">There </w:t>
      </w:r>
      <w:r w:rsidR="005630E7" w:rsidRPr="00A976EF">
        <w:rPr>
          <w:rFonts w:cs="Arial"/>
        </w:rPr>
        <w:t xml:space="preserve">is a new </w:t>
      </w:r>
      <w:r w:rsidR="00CA2DFA" w:rsidRPr="00A976EF">
        <w:rPr>
          <w:rFonts w:cs="Arial"/>
        </w:rPr>
        <w:t xml:space="preserve">red </w:t>
      </w:r>
      <w:r w:rsidR="005630E7" w:rsidRPr="00A976EF">
        <w:rPr>
          <w:rFonts w:cs="Arial"/>
        </w:rPr>
        <w:t xml:space="preserve">risk </w:t>
      </w:r>
      <w:r w:rsidR="00A976EF" w:rsidRPr="00A976EF">
        <w:rPr>
          <w:rFonts w:cs="Arial"/>
        </w:rPr>
        <w:t>relating to Medium Term Financial Planning following the announcement</w:t>
      </w:r>
      <w:r w:rsidR="00D172EB">
        <w:rPr>
          <w:rFonts w:cs="Arial"/>
        </w:rPr>
        <w:t xml:space="preserve"> of</w:t>
      </w:r>
      <w:r w:rsidR="00A976EF" w:rsidRPr="00A976EF">
        <w:rPr>
          <w:rFonts w:cs="Arial"/>
        </w:rPr>
        <w:t xml:space="preserve"> the Chancellor’s Summer Budget in July which ha</w:t>
      </w:r>
      <w:r w:rsidR="00D172EB">
        <w:rPr>
          <w:rFonts w:cs="Arial"/>
        </w:rPr>
        <w:t>s</w:t>
      </w:r>
      <w:r w:rsidR="00A976EF" w:rsidRPr="00A976EF">
        <w:rPr>
          <w:rFonts w:cs="Arial"/>
        </w:rPr>
        <w:t xml:space="preserve"> significant ramifications for the Council’s Medium Term Financial Plan, and in particular the Housing Revenue Account</w:t>
      </w:r>
      <w:r w:rsidR="00A976EF">
        <w:rPr>
          <w:rFonts w:cs="Arial"/>
        </w:rPr>
        <w:t>.</w:t>
      </w:r>
    </w:p>
    <w:p w:rsidR="00A976EF" w:rsidRDefault="00A976EF" w:rsidP="00A976EF">
      <w:pPr>
        <w:ind w:left="426"/>
        <w:rPr>
          <w:rFonts w:cs="Arial"/>
        </w:rPr>
      </w:pPr>
    </w:p>
    <w:p w:rsidR="00A976EF" w:rsidRDefault="00A976EF" w:rsidP="00A976EF">
      <w:pPr>
        <w:numPr>
          <w:ilvl w:val="0"/>
          <w:numId w:val="1"/>
        </w:numPr>
        <w:ind w:left="426"/>
        <w:rPr>
          <w:rFonts w:cs="Arial"/>
        </w:rPr>
      </w:pPr>
      <w:r>
        <w:rPr>
          <w:rFonts w:cs="Arial"/>
        </w:rPr>
        <w:t>Changes that are required to be made to the HRA Business Plan to mitigate the pressures will be determined through the budget setting cycle which is underway.  In order to ensure that the Council has maximum flexibility around these issues a</w:t>
      </w:r>
      <w:r w:rsidRPr="000F409C">
        <w:rPr>
          <w:rFonts w:cs="Arial"/>
        </w:rPr>
        <w:t xml:space="preserve"> temporary moratorium </w:t>
      </w:r>
      <w:r w:rsidR="00D172EB">
        <w:rPr>
          <w:rFonts w:cs="Arial"/>
        </w:rPr>
        <w:t>was</w:t>
      </w:r>
      <w:r w:rsidR="00355131">
        <w:rPr>
          <w:rFonts w:cs="Arial"/>
        </w:rPr>
        <w:t xml:space="preserve"> </w:t>
      </w:r>
      <w:r>
        <w:rPr>
          <w:rFonts w:cs="Arial"/>
        </w:rPr>
        <w:t xml:space="preserve">placed </w:t>
      </w:r>
      <w:r w:rsidRPr="000F409C">
        <w:rPr>
          <w:rFonts w:cs="Arial"/>
        </w:rPr>
        <w:t xml:space="preserve">on all non-essential </w:t>
      </w:r>
      <w:r>
        <w:rPr>
          <w:rFonts w:cs="Arial"/>
        </w:rPr>
        <w:t xml:space="preserve">General Fund and HRA </w:t>
      </w:r>
      <w:r w:rsidRPr="000F409C">
        <w:rPr>
          <w:rFonts w:cs="Arial"/>
        </w:rPr>
        <w:t xml:space="preserve">capital works </w:t>
      </w:r>
      <w:r w:rsidR="00D172EB">
        <w:rPr>
          <w:rFonts w:cs="Arial"/>
        </w:rPr>
        <w:t xml:space="preserve">in September to enable </w:t>
      </w:r>
      <w:r w:rsidRPr="000F409C">
        <w:rPr>
          <w:rFonts w:cs="Arial"/>
        </w:rPr>
        <w:t xml:space="preserve">officers </w:t>
      </w:r>
      <w:r w:rsidR="00D172EB">
        <w:rPr>
          <w:rFonts w:cs="Arial"/>
        </w:rPr>
        <w:t xml:space="preserve">to </w:t>
      </w:r>
      <w:r w:rsidRPr="000F409C">
        <w:rPr>
          <w:rFonts w:cs="Arial"/>
        </w:rPr>
        <w:t>review options for consideration</w:t>
      </w:r>
      <w:r>
        <w:rPr>
          <w:rFonts w:cs="Arial"/>
        </w:rPr>
        <w:t xml:space="preserve"> during the budget process. </w:t>
      </w:r>
    </w:p>
    <w:p w:rsidR="00A976EF" w:rsidRDefault="00A976EF" w:rsidP="00A976EF">
      <w:pPr>
        <w:ind w:left="426"/>
        <w:rPr>
          <w:rFonts w:cs="Arial"/>
        </w:rPr>
      </w:pPr>
    </w:p>
    <w:p w:rsidR="00BF2C68" w:rsidRDefault="00CC1BAC" w:rsidP="00A976EF">
      <w:pPr>
        <w:numPr>
          <w:ilvl w:val="0"/>
          <w:numId w:val="1"/>
        </w:numPr>
        <w:ind w:left="426"/>
        <w:rPr>
          <w:rFonts w:cs="Arial"/>
        </w:rPr>
      </w:pPr>
      <w:r>
        <w:rPr>
          <w:rFonts w:cs="Arial"/>
        </w:rPr>
        <w:t>The</w:t>
      </w:r>
      <w:r w:rsidR="00A976EF">
        <w:rPr>
          <w:rFonts w:cs="Arial"/>
        </w:rPr>
        <w:t>re</w:t>
      </w:r>
      <w:r>
        <w:rPr>
          <w:rFonts w:cs="Arial"/>
        </w:rPr>
        <w:t xml:space="preserve"> </w:t>
      </w:r>
      <w:r w:rsidR="00490D2E">
        <w:rPr>
          <w:rFonts w:cs="Arial"/>
        </w:rPr>
        <w:t xml:space="preserve">are three </w:t>
      </w:r>
      <w:r w:rsidR="00BF2C68">
        <w:rPr>
          <w:rFonts w:cs="Arial"/>
        </w:rPr>
        <w:t xml:space="preserve">amber </w:t>
      </w:r>
      <w:r w:rsidR="00BF2C68" w:rsidRPr="00BF2C68">
        <w:rPr>
          <w:rFonts w:cs="Arial"/>
        </w:rPr>
        <w:t xml:space="preserve">Corporate Risks </w:t>
      </w:r>
      <w:r w:rsidR="00BF2C68">
        <w:rPr>
          <w:rFonts w:cs="Arial"/>
        </w:rPr>
        <w:t>a</w:t>
      </w:r>
      <w:r w:rsidR="00A976EF">
        <w:rPr>
          <w:rFonts w:cs="Arial"/>
        </w:rPr>
        <w:t>s</w:t>
      </w:r>
      <w:r w:rsidR="00BF2C68">
        <w:rPr>
          <w:rFonts w:cs="Arial"/>
        </w:rPr>
        <w:t xml:space="preserve"> listed below</w:t>
      </w:r>
      <w:r>
        <w:rPr>
          <w:rFonts w:cs="Arial"/>
        </w:rPr>
        <w:t xml:space="preserve"> with m</w:t>
      </w:r>
      <w:r w:rsidR="00BF2C68" w:rsidRPr="00BF2C68">
        <w:rPr>
          <w:rFonts w:cs="Arial"/>
        </w:rPr>
        <w:t>ore detail contained in Appendix A.</w:t>
      </w:r>
    </w:p>
    <w:p w:rsidR="00BF2C68" w:rsidRPr="00A72087" w:rsidRDefault="00BF345E" w:rsidP="00EB5F90">
      <w:pPr>
        <w:numPr>
          <w:ilvl w:val="0"/>
          <w:numId w:val="16"/>
        </w:numPr>
        <w:rPr>
          <w:rFonts w:cs="Arial"/>
        </w:rPr>
      </w:pPr>
      <w:r w:rsidRPr="00A72087">
        <w:rPr>
          <w:rFonts w:cs="Arial"/>
        </w:rPr>
        <w:t>Resilience of the Information and Communications Technology function</w:t>
      </w:r>
    </w:p>
    <w:p w:rsidR="00BF345E" w:rsidRPr="00A72087" w:rsidRDefault="005101F7" w:rsidP="00EB5F90">
      <w:pPr>
        <w:numPr>
          <w:ilvl w:val="0"/>
          <w:numId w:val="16"/>
        </w:numPr>
        <w:rPr>
          <w:rFonts w:cs="Arial"/>
        </w:rPr>
      </w:pPr>
      <w:r w:rsidRPr="00A72087">
        <w:rPr>
          <w:rFonts w:cs="Arial"/>
        </w:rPr>
        <w:t>Partnership Risk</w:t>
      </w:r>
    </w:p>
    <w:p w:rsidR="00BF345E" w:rsidRPr="00A72087" w:rsidRDefault="005101F7" w:rsidP="00EB5F90">
      <w:pPr>
        <w:numPr>
          <w:ilvl w:val="0"/>
          <w:numId w:val="16"/>
        </w:numPr>
        <w:rPr>
          <w:rFonts w:cs="Arial"/>
        </w:rPr>
      </w:pPr>
      <w:r w:rsidRPr="00A72087">
        <w:rPr>
          <w:rFonts w:cs="Arial"/>
        </w:rPr>
        <w:t xml:space="preserve">Recruitment and </w:t>
      </w:r>
      <w:r w:rsidR="00CA2DFA" w:rsidRPr="00A72087">
        <w:rPr>
          <w:rFonts w:cs="Arial"/>
        </w:rPr>
        <w:t>R</w:t>
      </w:r>
      <w:r w:rsidRPr="00A72087">
        <w:rPr>
          <w:rFonts w:cs="Arial"/>
        </w:rPr>
        <w:t>etention</w:t>
      </w:r>
    </w:p>
    <w:p w:rsidR="00E60EA3" w:rsidRDefault="00E60EA3" w:rsidP="006F4BA2">
      <w:pPr>
        <w:ind w:left="426"/>
        <w:rPr>
          <w:rFonts w:cs="Arial"/>
        </w:rPr>
      </w:pPr>
    </w:p>
    <w:p w:rsidR="00B647CA" w:rsidRDefault="00B647CA" w:rsidP="000F409C">
      <w:pPr>
        <w:rPr>
          <w:rFonts w:cs="Arial"/>
          <w:b/>
        </w:rPr>
      </w:pPr>
      <w:r>
        <w:rPr>
          <w:rFonts w:cs="Arial"/>
          <w:b/>
        </w:rPr>
        <w:t>Climate Change / Environmental Impact</w:t>
      </w:r>
    </w:p>
    <w:p w:rsidR="00B647CA" w:rsidRPr="006F4BA2" w:rsidRDefault="00B647CA" w:rsidP="00512DDA">
      <w:pPr>
        <w:numPr>
          <w:ilvl w:val="0"/>
          <w:numId w:val="1"/>
        </w:numPr>
        <w:ind w:left="426"/>
        <w:rPr>
          <w:rFonts w:cs="Arial"/>
        </w:rPr>
      </w:pPr>
      <w:r w:rsidRPr="006F4BA2">
        <w:rPr>
          <w:rFonts w:cs="Arial"/>
        </w:rPr>
        <w:t>There are no issues arising directly from this report</w:t>
      </w:r>
    </w:p>
    <w:p w:rsidR="00B647CA" w:rsidRPr="006F4BA2" w:rsidRDefault="00B647CA" w:rsidP="006F4BA2">
      <w:pPr>
        <w:ind w:left="426"/>
        <w:rPr>
          <w:rFonts w:cs="Arial"/>
        </w:rPr>
      </w:pPr>
    </w:p>
    <w:p w:rsidR="00B647CA" w:rsidRDefault="00B647CA" w:rsidP="006F4BA2">
      <w:pPr>
        <w:rPr>
          <w:rFonts w:cs="Arial"/>
          <w:b/>
        </w:rPr>
      </w:pPr>
      <w:r w:rsidRPr="00B647CA">
        <w:rPr>
          <w:rFonts w:cs="Arial"/>
          <w:b/>
        </w:rPr>
        <w:t>Equalities impact</w:t>
      </w:r>
    </w:p>
    <w:p w:rsidR="00B647CA" w:rsidRPr="006F4BA2" w:rsidRDefault="00B647CA" w:rsidP="00512DDA">
      <w:pPr>
        <w:numPr>
          <w:ilvl w:val="0"/>
          <w:numId w:val="1"/>
        </w:numPr>
        <w:ind w:left="426"/>
        <w:rPr>
          <w:rFonts w:cs="Arial"/>
        </w:rPr>
      </w:pPr>
      <w:r w:rsidRPr="006F4BA2">
        <w:rPr>
          <w:rFonts w:cs="Arial"/>
        </w:rPr>
        <w:t>There are no equalities impacts arising directly from this report</w:t>
      </w:r>
    </w:p>
    <w:p w:rsidR="006F4BA2" w:rsidRPr="006F4BA2" w:rsidRDefault="006F4BA2" w:rsidP="006F4BA2">
      <w:pPr>
        <w:rPr>
          <w:rFonts w:cs="Arial"/>
        </w:rPr>
      </w:pPr>
    </w:p>
    <w:p w:rsidR="00B647CA" w:rsidRDefault="00B647CA" w:rsidP="006F4BA2">
      <w:pPr>
        <w:rPr>
          <w:rFonts w:cs="Arial"/>
          <w:b/>
        </w:rPr>
      </w:pPr>
      <w:r w:rsidRPr="00B647CA">
        <w:rPr>
          <w:rFonts w:cs="Arial"/>
          <w:b/>
        </w:rPr>
        <w:t>Financial Implications</w:t>
      </w:r>
    </w:p>
    <w:p w:rsidR="00B647CA" w:rsidRPr="006F4BA2" w:rsidRDefault="00B647CA" w:rsidP="00512DDA">
      <w:pPr>
        <w:numPr>
          <w:ilvl w:val="0"/>
          <w:numId w:val="1"/>
        </w:numPr>
        <w:ind w:left="426"/>
        <w:rPr>
          <w:rFonts w:cs="Arial"/>
        </w:rPr>
      </w:pPr>
      <w:r w:rsidRPr="006F4BA2">
        <w:rPr>
          <w:rFonts w:cs="Arial"/>
        </w:rPr>
        <w:t xml:space="preserve">All financial implications are covered in the body of this report and the </w:t>
      </w:r>
      <w:r w:rsidR="004D4BC9">
        <w:rPr>
          <w:rFonts w:cs="Arial"/>
        </w:rPr>
        <w:t>A</w:t>
      </w:r>
      <w:r w:rsidR="004D4BC9" w:rsidRPr="006F4BA2">
        <w:rPr>
          <w:rFonts w:cs="Arial"/>
        </w:rPr>
        <w:t>ppendices</w:t>
      </w:r>
      <w:r w:rsidRPr="006F4BA2">
        <w:rPr>
          <w:rFonts w:cs="Arial"/>
        </w:rPr>
        <w:t>.</w:t>
      </w:r>
    </w:p>
    <w:p w:rsidR="00714894" w:rsidRPr="006F4BA2" w:rsidRDefault="00714894" w:rsidP="00445174">
      <w:pPr>
        <w:rPr>
          <w:rFonts w:cs="Arial"/>
        </w:rPr>
      </w:pPr>
    </w:p>
    <w:p w:rsidR="00445174" w:rsidRDefault="005044C6" w:rsidP="00445174">
      <w:pPr>
        <w:rPr>
          <w:rFonts w:cs="Arial"/>
          <w:b/>
        </w:rPr>
      </w:pPr>
      <w:r w:rsidRPr="005044C6">
        <w:rPr>
          <w:rFonts w:cs="Arial"/>
          <w:b/>
        </w:rPr>
        <w:t>Legal Implications</w:t>
      </w:r>
    </w:p>
    <w:p w:rsidR="005044C6" w:rsidRPr="006F4BA2" w:rsidRDefault="005044C6" w:rsidP="00512DDA">
      <w:pPr>
        <w:numPr>
          <w:ilvl w:val="0"/>
          <w:numId w:val="1"/>
        </w:numPr>
        <w:ind w:left="426"/>
        <w:rPr>
          <w:rFonts w:cs="Arial"/>
          <w:b/>
        </w:rPr>
      </w:pPr>
      <w:r>
        <w:rPr>
          <w:rFonts w:cs="Arial"/>
        </w:rPr>
        <w:t>There are no legal implications directly relevant to this report.</w:t>
      </w:r>
    </w:p>
    <w:p w:rsidR="00714894" w:rsidRPr="006E1B35" w:rsidRDefault="00714894" w:rsidP="006F4BA2">
      <w:pPr>
        <w:ind w:left="426"/>
        <w:rPr>
          <w:rFonts w:cs="Arial"/>
          <w:b/>
        </w:rPr>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5D4C4D">
        <w:trPr>
          <w:trHeight w:val="270"/>
        </w:trPr>
        <w:tc>
          <w:tcPr>
            <w:tcW w:w="9664" w:type="dxa"/>
          </w:tcPr>
          <w:p w:rsidR="005D4C4D" w:rsidRDefault="005D4C4D" w:rsidP="005D4C4D">
            <w:pPr>
              <w:tabs>
                <w:tab w:val="left" w:pos="720"/>
                <w:tab w:val="left" w:pos="1440"/>
                <w:tab w:val="left" w:pos="2160"/>
                <w:tab w:val="left" w:pos="2880"/>
              </w:tabs>
            </w:pPr>
            <w:r>
              <w:rPr>
                <w:b/>
                <w:bCs/>
              </w:rPr>
              <w:t>Name and contact details of author:-</w:t>
            </w:r>
          </w:p>
        </w:tc>
      </w:tr>
      <w:tr w:rsidR="005D4C4D">
        <w:trPr>
          <w:trHeight w:val="285"/>
        </w:trPr>
        <w:tc>
          <w:tcPr>
            <w:tcW w:w="9664" w:type="dxa"/>
          </w:tcPr>
          <w:p w:rsidR="005D4C4D" w:rsidRDefault="005D4C4D" w:rsidP="00B949C8">
            <w:pPr>
              <w:tabs>
                <w:tab w:val="left" w:pos="720"/>
                <w:tab w:val="left" w:pos="1440"/>
                <w:tab w:val="left" w:pos="2160"/>
                <w:tab w:val="left" w:pos="2880"/>
              </w:tabs>
            </w:pPr>
            <w:r>
              <w:t xml:space="preserve">Name:  </w:t>
            </w:r>
            <w:r w:rsidR="006E1B35">
              <w:t>Nigel Kennedy</w:t>
            </w:r>
            <w:r w:rsidR="00330BE7">
              <w:t xml:space="preserve">, </w:t>
            </w:r>
            <w:r w:rsidR="00B949C8">
              <w:t>Helen Bishop</w:t>
            </w:r>
          </w:p>
        </w:tc>
      </w:tr>
      <w:tr w:rsidR="005D4C4D">
        <w:trPr>
          <w:trHeight w:val="270"/>
        </w:trPr>
        <w:tc>
          <w:tcPr>
            <w:tcW w:w="9664" w:type="dxa"/>
          </w:tcPr>
          <w:p w:rsidR="005D4C4D" w:rsidRDefault="005D4C4D" w:rsidP="00B949C8">
            <w:pPr>
              <w:tabs>
                <w:tab w:val="left" w:pos="720"/>
                <w:tab w:val="left" w:pos="1440"/>
                <w:tab w:val="left" w:pos="2160"/>
                <w:tab w:val="left" w:pos="2880"/>
              </w:tabs>
            </w:pPr>
            <w:r>
              <w:t xml:space="preserve">Job title:  </w:t>
            </w:r>
            <w:r w:rsidR="006E1B35">
              <w:t>Head of Financ</w:t>
            </w:r>
            <w:r w:rsidR="00B949C8">
              <w:t>ial Services</w:t>
            </w:r>
            <w:r w:rsidR="00330BE7">
              <w:t>, Head of Business Improvement</w:t>
            </w:r>
          </w:p>
        </w:tc>
      </w:tr>
      <w:tr w:rsidR="005D4C4D">
        <w:trPr>
          <w:trHeight w:val="270"/>
        </w:trPr>
        <w:tc>
          <w:tcPr>
            <w:tcW w:w="9664" w:type="dxa"/>
          </w:tcPr>
          <w:p w:rsidR="005D4C4D" w:rsidRDefault="005D4C4D" w:rsidP="00B949C8">
            <w:pPr>
              <w:tabs>
                <w:tab w:val="left" w:pos="720"/>
                <w:tab w:val="left" w:pos="1440"/>
                <w:tab w:val="left" w:pos="2160"/>
                <w:tab w:val="left" w:pos="2880"/>
              </w:tabs>
            </w:pPr>
            <w:r>
              <w:t>Service Area / Department:  Financ</w:t>
            </w:r>
            <w:r w:rsidR="00B949C8">
              <w:t xml:space="preserve">ial Services / </w:t>
            </w:r>
            <w:r w:rsidR="00330BE7">
              <w:t xml:space="preserve">Business Improvement </w:t>
            </w:r>
          </w:p>
        </w:tc>
      </w:tr>
      <w:tr w:rsidR="005D4C4D" w:rsidRPr="00B7705C">
        <w:trPr>
          <w:trHeight w:val="570"/>
        </w:trPr>
        <w:tc>
          <w:tcPr>
            <w:tcW w:w="9664" w:type="dxa"/>
          </w:tcPr>
          <w:p w:rsidR="005D4C4D" w:rsidRPr="00B7705C" w:rsidRDefault="005D4C4D" w:rsidP="00B949C8">
            <w:pPr>
              <w:tabs>
                <w:tab w:val="left" w:pos="720"/>
                <w:tab w:val="left" w:pos="1440"/>
                <w:tab w:val="left" w:pos="2160"/>
                <w:tab w:val="left" w:pos="2880"/>
              </w:tabs>
              <w:rPr>
                <w:color w:val="0000FF"/>
                <w:u w:val="single"/>
                <w:lang w:val="de-DE"/>
              </w:rPr>
            </w:pPr>
            <w:r w:rsidRPr="00B7705C">
              <w:rPr>
                <w:lang w:val="de-DE"/>
              </w:rPr>
              <w:t>Tel:  01865 252</w:t>
            </w:r>
            <w:r w:rsidR="006E1B35">
              <w:rPr>
                <w:lang w:val="de-DE"/>
              </w:rPr>
              <w:t>708</w:t>
            </w:r>
            <w:r w:rsidRPr="00B7705C">
              <w:rPr>
                <w:lang w:val="de-DE"/>
              </w:rPr>
              <w:t xml:space="preserve">  e-mail:  </w:t>
            </w:r>
            <w:hyperlink r:id="rId12" w:history="1">
              <w:r w:rsidR="00330BE7" w:rsidRPr="00426D96">
                <w:rPr>
                  <w:rStyle w:val="Hyperlink"/>
                  <w:lang w:val="de-DE"/>
                </w:rPr>
                <w:t>nkennedy@oxford.gov.uk</w:t>
              </w:r>
            </w:hyperlink>
            <w:r w:rsidR="00330BE7">
              <w:rPr>
                <w:lang w:val="de-DE"/>
              </w:rPr>
              <w:t xml:space="preserve">, </w:t>
            </w:r>
            <w:r w:rsidR="00B949C8">
              <w:rPr>
                <w:lang w:val="de-DE"/>
              </w:rPr>
              <w:t>hbishop</w:t>
            </w:r>
            <w:r w:rsidR="00330BE7">
              <w:rPr>
                <w:lang w:val="de-DE"/>
              </w:rPr>
              <w:t>@oxford.gov.uk</w:t>
            </w:r>
          </w:p>
        </w:tc>
      </w:tr>
    </w:tbl>
    <w:p w:rsidR="005D4C4D" w:rsidRPr="00B7705C" w:rsidRDefault="005D4C4D" w:rsidP="005D4C4D">
      <w:pPr>
        <w:rPr>
          <w:rFonts w:cs="Arial"/>
          <w:b/>
          <w:bCs/>
          <w:sz w:val="20"/>
          <w:lang w:val="de-DE"/>
        </w:rPr>
      </w:pPr>
    </w:p>
    <w:p w:rsidR="005064F0" w:rsidRDefault="005D4C4D">
      <w:pPr>
        <w:rPr>
          <w:rFonts w:cs="Arial"/>
          <w:b/>
          <w:bCs/>
        </w:rPr>
      </w:pPr>
      <w:r>
        <w:rPr>
          <w:rFonts w:cs="Arial"/>
          <w:b/>
          <w:bCs/>
        </w:rPr>
        <w:t xml:space="preserve">List of background papers: </w:t>
      </w:r>
      <w:r w:rsidR="000F72BC">
        <w:rPr>
          <w:rFonts w:cs="Arial"/>
          <w:b/>
          <w:bCs/>
        </w:rPr>
        <w:t>N</w:t>
      </w:r>
      <w:r w:rsidR="00815488">
        <w:rPr>
          <w:rFonts w:cs="Arial"/>
          <w:b/>
          <w:bCs/>
        </w:rPr>
        <w:t>one.</w:t>
      </w:r>
    </w:p>
    <w:sectPr w:rsidR="005064F0">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66" w:rsidRDefault="00217366">
      <w:r>
        <w:separator/>
      </w:r>
    </w:p>
  </w:endnote>
  <w:endnote w:type="continuationSeparator" w:id="0">
    <w:p w:rsidR="00217366" w:rsidRDefault="0021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66" w:rsidRDefault="00217366">
      <w:r>
        <w:separator/>
      </w:r>
    </w:p>
  </w:footnote>
  <w:footnote w:type="continuationSeparator" w:id="0">
    <w:p w:rsidR="00217366" w:rsidRDefault="00217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853"/>
    <w:multiLevelType w:val="hybridMultilevel"/>
    <w:tmpl w:val="F40E7252"/>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80FEA"/>
    <w:multiLevelType w:val="hybridMultilevel"/>
    <w:tmpl w:val="625E3F22"/>
    <w:lvl w:ilvl="0" w:tplc="D6CCF95E">
      <w:start w:val="11"/>
      <w:numFmt w:val="decimal"/>
      <w:lvlText w:val="%1"/>
      <w:lvlJc w:val="left"/>
      <w:pPr>
        <w:ind w:left="720" w:hanging="360"/>
      </w:pPr>
      <w:rPr>
        <w:rFonts w:hint="default"/>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B816E7"/>
    <w:multiLevelType w:val="hybridMultilevel"/>
    <w:tmpl w:val="9DFA0CC4"/>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354EF0"/>
    <w:multiLevelType w:val="hybridMultilevel"/>
    <w:tmpl w:val="E81AC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A6692E"/>
    <w:multiLevelType w:val="hybridMultilevel"/>
    <w:tmpl w:val="B34268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275C40CB"/>
    <w:multiLevelType w:val="hybridMultilevel"/>
    <w:tmpl w:val="5A6A14A2"/>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2C0F032D"/>
    <w:multiLevelType w:val="hybridMultilevel"/>
    <w:tmpl w:val="0BECB426"/>
    <w:lvl w:ilvl="0" w:tplc="08090019">
      <w:start w:val="1"/>
      <w:numFmt w:val="lowerLetter"/>
      <w:lvlText w:val="%1."/>
      <w:lvlJc w:val="left"/>
      <w:pPr>
        <w:ind w:left="1701" w:hanging="360"/>
      </w:p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7">
    <w:nsid w:val="2ECB5406"/>
    <w:multiLevelType w:val="hybridMultilevel"/>
    <w:tmpl w:val="4518F4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317473DC"/>
    <w:multiLevelType w:val="hybridMultilevel"/>
    <w:tmpl w:val="BB9022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F513F67"/>
    <w:multiLevelType w:val="hybridMultilevel"/>
    <w:tmpl w:val="3E5CAD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44E24961"/>
    <w:multiLevelType w:val="hybridMultilevel"/>
    <w:tmpl w:val="CFF8DEDE"/>
    <w:lvl w:ilvl="0" w:tplc="D6CCF95E">
      <w:start w:val="1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7064"/>
    <w:multiLevelType w:val="hybridMultilevel"/>
    <w:tmpl w:val="FAF63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4F650F48"/>
    <w:multiLevelType w:val="hybridMultilevel"/>
    <w:tmpl w:val="008436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539E1D9C"/>
    <w:multiLevelType w:val="hybridMultilevel"/>
    <w:tmpl w:val="D2A49218"/>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A50038"/>
    <w:multiLevelType w:val="hybridMultilevel"/>
    <w:tmpl w:val="1C567F1E"/>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5B076448"/>
    <w:multiLevelType w:val="hybridMultilevel"/>
    <w:tmpl w:val="F2BE1E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641F4BD0"/>
    <w:multiLevelType w:val="hybridMultilevel"/>
    <w:tmpl w:val="520C159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7">
    <w:nsid w:val="6A1F7188"/>
    <w:multiLevelType w:val="hybridMultilevel"/>
    <w:tmpl w:val="0AC0B4D6"/>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445DEF"/>
    <w:multiLevelType w:val="hybridMultilevel"/>
    <w:tmpl w:val="CF404860"/>
    <w:lvl w:ilvl="0" w:tplc="3A5643B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D6490F"/>
    <w:multiLevelType w:val="hybridMultilevel"/>
    <w:tmpl w:val="6B42545A"/>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3A6A87"/>
    <w:multiLevelType w:val="hybridMultilevel"/>
    <w:tmpl w:val="FD148C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7B665766"/>
    <w:multiLevelType w:val="hybridMultilevel"/>
    <w:tmpl w:val="DF10ED9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8B4866"/>
    <w:multiLevelType w:val="hybridMultilevel"/>
    <w:tmpl w:val="5CB622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12"/>
  </w:num>
  <w:num w:numId="6">
    <w:abstractNumId w:val="18"/>
  </w:num>
  <w:num w:numId="7">
    <w:abstractNumId w:val="10"/>
  </w:num>
  <w:num w:numId="8">
    <w:abstractNumId w:val="7"/>
  </w:num>
  <w:num w:numId="9">
    <w:abstractNumId w:val="1"/>
  </w:num>
  <w:num w:numId="10">
    <w:abstractNumId w:val="6"/>
  </w:num>
  <w:num w:numId="11">
    <w:abstractNumId w:val="16"/>
  </w:num>
  <w:num w:numId="12">
    <w:abstractNumId w:val="13"/>
  </w:num>
  <w:num w:numId="13">
    <w:abstractNumId w:val="17"/>
  </w:num>
  <w:num w:numId="14">
    <w:abstractNumId w:val="21"/>
  </w:num>
  <w:num w:numId="15">
    <w:abstractNumId w:val="11"/>
  </w:num>
  <w:num w:numId="16">
    <w:abstractNumId w:val="20"/>
  </w:num>
  <w:num w:numId="17">
    <w:abstractNumId w:val="19"/>
  </w:num>
  <w:num w:numId="18">
    <w:abstractNumId w:val="9"/>
  </w:num>
  <w:num w:numId="19">
    <w:abstractNumId w:val="15"/>
  </w:num>
  <w:num w:numId="20">
    <w:abstractNumId w:val="22"/>
  </w:num>
  <w:num w:numId="21">
    <w:abstractNumId w:val="3"/>
  </w:num>
  <w:num w:numId="22">
    <w:abstractNumId w:val="2"/>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4D"/>
    <w:rsid w:val="00005681"/>
    <w:rsid w:val="00006806"/>
    <w:rsid w:val="00006A11"/>
    <w:rsid w:val="000150BE"/>
    <w:rsid w:val="000209F8"/>
    <w:rsid w:val="000226F8"/>
    <w:rsid w:val="00022CD2"/>
    <w:rsid w:val="0003315D"/>
    <w:rsid w:val="00035147"/>
    <w:rsid w:val="000359CD"/>
    <w:rsid w:val="00035A9B"/>
    <w:rsid w:val="00035D3E"/>
    <w:rsid w:val="000372FD"/>
    <w:rsid w:val="00037810"/>
    <w:rsid w:val="000512FC"/>
    <w:rsid w:val="00061638"/>
    <w:rsid w:val="0007119E"/>
    <w:rsid w:val="000800A8"/>
    <w:rsid w:val="000824E5"/>
    <w:rsid w:val="00083C8A"/>
    <w:rsid w:val="00083E8E"/>
    <w:rsid w:val="00094258"/>
    <w:rsid w:val="000943BA"/>
    <w:rsid w:val="00097027"/>
    <w:rsid w:val="000A1F5E"/>
    <w:rsid w:val="000A2EF0"/>
    <w:rsid w:val="000A59AB"/>
    <w:rsid w:val="000A6EFA"/>
    <w:rsid w:val="000B2944"/>
    <w:rsid w:val="000C3F41"/>
    <w:rsid w:val="000C3F42"/>
    <w:rsid w:val="000C5C80"/>
    <w:rsid w:val="000C5DA1"/>
    <w:rsid w:val="000C61B2"/>
    <w:rsid w:val="000E3982"/>
    <w:rsid w:val="000E3AD2"/>
    <w:rsid w:val="000E4872"/>
    <w:rsid w:val="000F1F36"/>
    <w:rsid w:val="000F409C"/>
    <w:rsid w:val="000F4153"/>
    <w:rsid w:val="000F72BC"/>
    <w:rsid w:val="00103614"/>
    <w:rsid w:val="00105B32"/>
    <w:rsid w:val="00106D28"/>
    <w:rsid w:val="00114E27"/>
    <w:rsid w:val="00116A1A"/>
    <w:rsid w:val="00117CE9"/>
    <w:rsid w:val="00120434"/>
    <w:rsid w:val="00123CDC"/>
    <w:rsid w:val="0013217E"/>
    <w:rsid w:val="001332FB"/>
    <w:rsid w:val="0013589B"/>
    <w:rsid w:val="001552CD"/>
    <w:rsid w:val="00155B6E"/>
    <w:rsid w:val="00161381"/>
    <w:rsid w:val="001662D8"/>
    <w:rsid w:val="00172CC0"/>
    <w:rsid w:val="00182BE8"/>
    <w:rsid w:val="0018663D"/>
    <w:rsid w:val="001918F7"/>
    <w:rsid w:val="001955EA"/>
    <w:rsid w:val="001A0D94"/>
    <w:rsid w:val="001A38FB"/>
    <w:rsid w:val="001A59EF"/>
    <w:rsid w:val="001A7428"/>
    <w:rsid w:val="001B71A6"/>
    <w:rsid w:val="001C12BA"/>
    <w:rsid w:val="001C14DE"/>
    <w:rsid w:val="001C2C32"/>
    <w:rsid w:val="001C5873"/>
    <w:rsid w:val="001D1A03"/>
    <w:rsid w:val="001D1CE1"/>
    <w:rsid w:val="001D7CD8"/>
    <w:rsid w:val="001E7A5E"/>
    <w:rsid w:val="001F236C"/>
    <w:rsid w:val="001F3FA7"/>
    <w:rsid w:val="00204166"/>
    <w:rsid w:val="002059C1"/>
    <w:rsid w:val="002067B3"/>
    <w:rsid w:val="00210798"/>
    <w:rsid w:val="00211DE3"/>
    <w:rsid w:val="00212B06"/>
    <w:rsid w:val="002168D6"/>
    <w:rsid w:val="00217366"/>
    <w:rsid w:val="00217AFF"/>
    <w:rsid w:val="00217B95"/>
    <w:rsid w:val="00222D83"/>
    <w:rsid w:val="00225BFE"/>
    <w:rsid w:val="00227C81"/>
    <w:rsid w:val="00240250"/>
    <w:rsid w:val="00240A01"/>
    <w:rsid w:val="002461BE"/>
    <w:rsid w:val="00253880"/>
    <w:rsid w:val="00260B0E"/>
    <w:rsid w:val="00263649"/>
    <w:rsid w:val="00265840"/>
    <w:rsid w:val="0026668B"/>
    <w:rsid w:val="002730E7"/>
    <w:rsid w:val="00274856"/>
    <w:rsid w:val="00283734"/>
    <w:rsid w:val="002853B4"/>
    <w:rsid w:val="0028751D"/>
    <w:rsid w:val="002913F5"/>
    <w:rsid w:val="00293CF3"/>
    <w:rsid w:val="00294C46"/>
    <w:rsid w:val="002A465B"/>
    <w:rsid w:val="002B1B9E"/>
    <w:rsid w:val="002B3272"/>
    <w:rsid w:val="002B3F3D"/>
    <w:rsid w:val="002B79FC"/>
    <w:rsid w:val="002C35AB"/>
    <w:rsid w:val="002D0CDF"/>
    <w:rsid w:val="002D3856"/>
    <w:rsid w:val="002E2A7E"/>
    <w:rsid w:val="002E7245"/>
    <w:rsid w:val="002F058F"/>
    <w:rsid w:val="002F1875"/>
    <w:rsid w:val="002F40E8"/>
    <w:rsid w:val="002F7B75"/>
    <w:rsid w:val="00303A0A"/>
    <w:rsid w:val="003072AE"/>
    <w:rsid w:val="00307A9B"/>
    <w:rsid w:val="00315362"/>
    <w:rsid w:val="003217AF"/>
    <w:rsid w:val="00330BE7"/>
    <w:rsid w:val="00332507"/>
    <w:rsid w:val="003325B6"/>
    <w:rsid w:val="0033385A"/>
    <w:rsid w:val="0033503E"/>
    <w:rsid w:val="00335660"/>
    <w:rsid w:val="0033624D"/>
    <w:rsid w:val="003473B2"/>
    <w:rsid w:val="00350047"/>
    <w:rsid w:val="0035020F"/>
    <w:rsid w:val="0035126E"/>
    <w:rsid w:val="0035451F"/>
    <w:rsid w:val="00354C82"/>
    <w:rsid w:val="00355131"/>
    <w:rsid w:val="00356672"/>
    <w:rsid w:val="00361E0C"/>
    <w:rsid w:val="00362BDE"/>
    <w:rsid w:val="003703E5"/>
    <w:rsid w:val="00371F3B"/>
    <w:rsid w:val="00372049"/>
    <w:rsid w:val="003725E4"/>
    <w:rsid w:val="0037288A"/>
    <w:rsid w:val="003741D2"/>
    <w:rsid w:val="00377013"/>
    <w:rsid w:val="00384F1A"/>
    <w:rsid w:val="00387A11"/>
    <w:rsid w:val="003A197C"/>
    <w:rsid w:val="003B022E"/>
    <w:rsid w:val="003B077C"/>
    <w:rsid w:val="003B7B73"/>
    <w:rsid w:val="003C5909"/>
    <w:rsid w:val="003C6BE6"/>
    <w:rsid w:val="003C712C"/>
    <w:rsid w:val="003D6B03"/>
    <w:rsid w:val="003D700B"/>
    <w:rsid w:val="003E1847"/>
    <w:rsid w:val="003E28CA"/>
    <w:rsid w:val="003E6245"/>
    <w:rsid w:val="003F0F22"/>
    <w:rsid w:val="003F462C"/>
    <w:rsid w:val="00402EA9"/>
    <w:rsid w:val="00413E26"/>
    <w:rsid w:val="00417135"/>
    <w:rsid w:val="004258ED"/>
    <w:rsid w:val="00431E84"/>
    <w:rsid w:val="004331BA"/>
    <w:rsid w:val="00435C74"/>
    <w:rsid w:val="00444E8B"/>
    <w:rsid w:val="00445174"/>
    <w:rsid w:val="0045464F"/>
    <w:rsid w:val="00454796"/>
    <w:rsid w:val="004563C8"/>
    <w:rsid w:val="00463DCF"/>
    <w:rsid w:val="004651DF"/>
    <w:rsid w:val="00472F74"/>
    <w:rsid w:val="004735DB"/>
    <w:rsid w:val="00474485"/>
    <w:rsid w:val="00475F85"/>
    <w:rsid w:val="004828D3"/>
    <w:rsid w:val="00486412"/>
    <w:rsid w:val="00490D2E"/>
    <w:rsid w:val="00491160"/>
    <w:rsid w:val="0049146A"/>
    <w:rsid w:val="004935F2"/>
    <w:rsid w:val="00493B65"/>
    <w:rsid w:val="004A2A9F"/>
    <w:rsid w:val="004A3F68"/>
    <w:rsid w:val="004A494A"/>
    <w:rsid w:val="004A5381"/>
    <w:rsid w:val="004A700B"/>
    <w:rsid w:val="004B0400"/>
    <w:rsid w:val="004B19A9"/>
    <w:rsid w:val="004B2094"/>
    <w:rsid w:val="004B2C60"/>
    <w:rsid w:val="004B77FC"/>
    <w:rsid w:val="004C0542"/>
    <w:rsid w:val="004D034A"/>
    <w:rsid w:val="004D4BC9"/>
    <w:rsid w:val="004D6561"/>
    <w:rsid w:val="004D67CD"/>
    <w:rsid w:val="004E0B74"/>
    <w:rsid w:val="004F74DE"/>
    <w:rsid w:val="005044C6"/>
    <w:rsid w:val="005064F0"/>
    <w:rsid w:val="005101F7"/>
    <w:rsid w:val="00512DDA"/>
    <w:rsid w:val="00516A5C"/>
    <w:rsid w:val="00520C82"/>
    <w:rsid w:val="00521DC4"/>
    <w:rsid w:val="00523C31"/>
    <w:rsid w:val="005266AA"/>
    <w:rsid w:val="00526E3B"/>
    <w:rsid w:val="00527607"/>
    <w:rsid w:val="00530F4A"/>
    <w:rsid w:val="005313BC"/>
    <w:rsid w:val="00531F1E"/>
    <w:rsid w:val="005323C6"/>
    <w:rsid w:val="0053306E"/>
    <w:rsid w:val="00533B94"/>
    <w:rsid w:val="00533FD2"/>
    <w:rsid w:val="00536C64"/>
    <w:rsid w:val="00541DC1"/>
    <w:rsid w:val="005506D6"/>
    <w:rsid w:val="00551191"/>
    <w:rsid w:val="00554844"/>
    <w:rsid w:val="0056210B"/>
    <w:rsid w:val="0056251F"/>
    <w:rsid w:val="005630E7"/>
    <w:rsid w:val="00570D05"/>
    <w:rsid w:val="00581FD3"/>
    <w:rsid w:val="00583B45"/>
    <w:rsid w:val="005905C2"/>
    <w:rsid w:val="005917AE"/>
    <w:rsid w:val="005925B6"/>
    <w:rsid w:val="005976C4"/>
    <w:rsid w:val="005A38B3"/>
    <w:rsid w:val="005A5DEF"/>
    <w:rsid w:val="005A664C"/>
    <w:rsid w:val="005A6AAE"/>
    <w:rsid w:val="005B0232"/>
    <w:rsid w:val="005B2AF6"/>
    <w:rsid w:val="005C102E"/>
    <w:rsid w:val="005C4131"/>
    <w:rsid w:val="005D33C2"/>
    <w:rsid w:val="005D3F27"/>
    <w:rsid w:val="005D44A4"/>
    <w:rsid w:val="005D4C4D"/>
    <w:rsid w:val="005D546F"/>
    <w:rsid w:val="005D6C51"/>
    <w:rsid w:val="005D72F6"/>
    <w:rsid w:val="005E0B00"/>
    <w:rsid w:val="005E7711"/>
    <w:rsid w:val="005F14EF"/>
    <w:rsid w:val="005F174D"/>
    <w:rsid w:val="005F4140"/>
    <w:rsid w:val="00600995"/>
    <w:rsid w:val="00601057"/>
    <w:rsid w:val="00603981"/>
    <w:rsid w:val="00603E8E"/>
    <w:rsid w:val="00607866"/>
    <w:rsid w:val="0061340A"/>
    <w:rsid w:val="00613D43"/>
    <w:rsid w:val="0061718A"/>
    <w:rsid w:val="006251C1"/>
    <w:rsid w:val="00635911"/>
    <w:rsid w:val="0065305B"/>
    <w:rsid w:val="00654A79"/>
    <w:rsid w:val="00656E91"/>
    <w:rsid w:val="00662A0F"/>
    <w:rsid w:val="00670340"/>
    <w:rsid w:val="00675C69"/>
    <w:rsid w:val="00676008"/>
    <w:rsid w:val="00677B45"/>
    <w:rsid w:val="00682D25"/>
    <w:rsid w:val="0068485E"/>
    <w:rsid w:val="00687F6F"/>
    <w:rsid w:val="0069059C"/>
    <w:rsid w:val="00691981"/>
    <w:rsid w:val="0069250F"/>
    <w:rsid w:val="00693ED6"/>
    <w:rsid w:val="0069761F"/>
    <w:rsid w:val="00697879"/>
    <w:rsid w:val="006A5B5A"/>
    <w:rsid w:val="006B2096"/>
    <w:rsid w:val="006B328F"/>
    <w:rsid w:val="006C24A9"/>
    <w:rsid w:val="006C7363"/>
    <w:rsid w:val="006D112A"/>
    <w:rsid w:val="006D20BA"/>
    <w:rsid w:val="006D645E"/>
    <w:rsid w:val="006E1B35"/>
    <w:rsid w:val="006E1B5A"/>
    <w:rsid w:val="006E1BC3"/>
    <w:rsid w:val="006E36F3"/>
    <w:rsid w:val="006E3831"/>
    <w:rsid w:val="006E44BB"/>
    <w:rsid w:val="006E67C4"/>
    <w:rsid w:val="006F4BA2"/>
    <w:rsid w:val="006F5910"/>
    <w:rsid w:val="00701296"/>
    <w:rsid w:val="00701D7D"/>
    <w:rsid w:val="00704730"/>
    <w:rsid w:val="007053CF"/>
    <w:rsid w:val="007070D0"/>
    <w:rsid w:val="00710466"/>
    <w:rsid w:val="007137F7"/>
    <w:rsid w:val="00714894"/>
    <w:rsid w:val="007154CE"/>
    <w:rsid w:val="0072307E"/>
    <w:rsid w:val="0072591D"/>
    <w:rsid w:val="00727179"/>
    <w:rsid w:val="00727ED1"/>
    <w:rsid w:val="00740F03"/>
    <w:rsid w:val="007427D4"/>
    <w:rsid w:val="00746E1A"/>
    <w:rsid w:val="00752C6B"/>
    <w:rsid w:val="00764079"/>
    <w:rsid w:val="00766998"/>
    <w:rsid w:val="0077104B"/>
    <w:rsid w:val="00771F55"/>
    <w:rsid w:val="00773961"/>
    <w:rsid w:val="0077440D"/>
    <w:rsid w:val="00775A30"/>
    <w:rsid w:val="00777F68"/>
    <w:rsid w:val="00777FC6"/>
    <w:rsid w:val="00787851"/>
    <w:rsid w:val="007A68B2"/>
    <w:rsid w:val="007B314C"/>
    <w:rsid w:val="007C1DC6"/>
    <w:rsid w:val="007C6046"/>
    <w:rsid w:val="007C63CC"/>
    <w:rsid w:val="007D5160"/>
    <w:rsid w:val="007E1B08"/>
    <w:rsid w:val="007F1631"/>
    <w:rsid w:val="007F3944"/>
    <w:rsid w:val="007F5272"/>
    <w:rsid w:val="007F53F3"/>
    <w:rsid w:val="007F5BF2"/>
    <w:rsid w:val="007F76F2"/>
    <w:rsid w:val="0080618D"/>
    <w:rsid w:val="00814BB4"/>
    <w:rsid w:val="00815488"/>
    <w:rsid w:val="00815E85"/>
    <w:rsid w:val="0082449A"/>
    <w:rsid w:val="00824A81"/>
    <w:rsid w:val="008306D4"/>
    <w:rsid w:val="008346CA"/>
    <w:rsid w:val="00834BCC"/>
    <w:rsid w:val="0083795F"/>
    <w:rsid w:val="008455D5"/>
    <w:rsid w:val="00846DC5"/>
    <w:rsid w:val="00851BB4"/>
    <w:rsid w:val="0085475D"/>
    <w:rsid w:val="00855B96"/>
    <w:rsid w:val="0086006F"/>
    <w:rsid w:val="00871681"/>
    <w:rsid w:val="00877A3D"/>
    <w:rsid w:val="00885D91"/>
    <w:rsid w:val="00891DC1"/>
    <w:rsid w:val="00895AE4"/>
    <w:rsid w:val="008A4353"/>
    <w:rsid w:val="008A7BD9"/>
    <w:rsid w:val="008B286F"/>
    <w:rsid w:val="008C1A0F"/>
    <w:rsid w:val="008C1BB8"/>
    <w:rsid w:val="008C5C1C"/>
    <w:rsid w:val="008D3203"/>
    <w:rsid w:val="008E001F"/>
    <w:rsid w:val="008E09D0"/>
    <w:rsid w:val="008E1145"/>
    <w:rsid w:val="008E285A"/>
    <w:rsid w:val="008E5A73"/>
    <w:rsid w:val="008F289B"/>
    <w:rsid w:val="008F7B19"/>
    <w:rsid w:val="00900C7F"/>
    <w:rsid w:val="00903458"/>
    <w:rsid w:val="00903C3C"/>
    <w:rsid w:val="009051BE"/>
    <w:rsid w:val="0091176F"/>
    <w:rsid w:val="009117BC"/>
    <w:rsid w:val="00912361"/>
    <w:rsid w:val="009142E5"/>
    <w:rsid w:val="00915EC3"/>
    <w:rsid w:val="009176DB"/>
    <w:rsid w:val="00922EBF"/>
    <w:rsid w:val="00926E63"/>
    <w:rsid w:val="00934EA9"/>
    <w:rsid w:val="00941CF9"/>
    <w:rsid w:val="00941E4F"/>
    <w:rsid w:val="00945E7B"/>
    <w:rsid w:val="0094682F"/>
    <w:rsid w:val="009538B4"/>
    <w:rsid w:val="009562DE"/>
    <w:rsid w:val="0096047C"/>
    <w:rsid w:val="009620A8"/>
    <w:rsid w:val="0096633B"/>
    <w:rsid w:val="0096749E"/>
    <w:rsid w:val="00971E0D"/>
    <w:rsid w:val="00971F25"/>
    <w:rsid w:val="00972FEF"/>
    <w:rsid w:val="00973B83"/>
    <w:rsid w:val="00986C1F"/>
    <w:rsid w:val="00995E4A"/>
    <w:rsid w:val="009B17D6"/>
    <w:rsid w:val="009B2610"/>
    <w:rsid w:val="009B2ED0"/>
    <w:rsid w:val="009B3D3E"/>
    <w:rsid w:val="009B5A72"/>
    <w:rsid w:val="009C004C"/>
    <w:rsid w:val="009D3912"/>
    <w:rsid w:val="009D3FFE"/>
    <w:rsid w:val="009D6722"/>
    <w:rsid w:val="009D7937"/>
    <w:rsid w:val="009E0A5A"/>
    <w:rsid w:val="009E34F6"/>
    <w:rsid w:val="009E3E56"/>
    <w:rsid w:val="009E6D5E"/>
    <w:rsid w:val="009F6875"/>
    <w:rsid w:val="00A01542"/>
    <w:rsid w:val="00A01D6B"/>
    <w:rsid w:val="00A04E24"/>
    <w:rsid w:val="00A04F8C"/>
    <w:rsid w:val="00A06DE4"/>
    <w:rsid w:val="00A10B89"/>
    <w:rsid w:val="00A20074"/>
    <w:rsid w:val="00A21178"/>
    <w:rsid w:val="00A24256"/>
    <w:rsid w:val="00A27069"/>
    <w:rsid w:val="00A32774"/>
    <w:rsid w:val="00A3538B"/>
    <w:rsid w:val="00A36D0D"/>
    <w:rsid w:val="00A4088F"/>
    <w:rsid w:val="00A40943"/>
    <w:rsid w:val="00A4396F"/>
    <w:rsid w:val="00A45D10"/>
    <w:rsid w:val="00A47CCA"/>
    <w:rsid w:val="00A50E23"/>
    <w:rsid w:val="00A51044"/>
    <w:rsid w:val="00A534D3"/>
    <w:rsid w:val="00A60507"/>
    <w:rsid w:val="00A65250"/>
    <w:rsid w:val="00A72087"/>
    <w:rsid w:val="00A7570E"/>
    <w:rsid w:val="00A765CE"/>
    <w:rsid w:val="00A77C53"/>
    <w:rsid w:val="00A8286B"/>
    <w:rsid w:val="00A840F5"/>
    <w:rsid w:val="00A905DF"/>
    <w:rsid w:val="00A976EF"/>
    <w:rsid w:val="00A97EDB"/>
    <w:rsid w:val="00AA5C80"/>
    <w:rsid w:val="00AA7C75"/>
    <w:rsid w:val="00AB1A3D"/>
    <w:rsid w:val="00AB1B1F"/>
    <w:rsid w:val="00AC4B4B"/>
    <w:rsid w:val="00AC5820"/>
    <w:rsid w:val="00AD08CE"/>
    <w:rsid w:val="00AD0F68"/>
    <w:rsid w:val="00AD3823"/>
    <w:rsid w:val="00AD6B0C"/>
    <w:rsid w:val="00AE0538"/>
    <w:rsid w:val="00AE12E9"/>
    <w:rsid w:val="00AF08EC"/>
    <w:rsid w:val="00AF5A15"/>
    <w:rsid w:val="00AF7455"/>
    <w:rsid w:val="00AF79B7"/>
    <w:rsid w:val="00B05FE6"/>
    <w:rsid w:val="00B10289"/>
    <w:rsid w:val="00B10A93"/>
    <w:rsid w:val="00B10F8A"/>
    <w:rsid w:val="00B11021"/>
    <w:rsid w:val="00B1424E"/>
    <w:rsid w:val="00B17A5F"/>
    <w:rsid w:val="00B23FD9"/>
    <w:rsid w:val="00B31B0D"/>
    <w:rsid w:val="00B35F74"/>
    <w:rsid w:val="00B4694E"/>
    <w:rsid w:val="00B5509D"/>
    <w:rsid w:val="00B561B1"/>
    <w:rsid w:val="00B60D6F"/>
    <w:rsid w:val="00B647CA"/>
    <w:rsid w:val="00B64C35"/>
    <w:rsid w:val="00B72E67"/>
    <w:rsid w:val="00B72FD0"/>
    <w:rsid w:val="00B7705C"/>
    <w:rsid w:val="00B80F0F"/>
    <w:rsid w:val="00B822CF"/>
    <w:rsid w:val="00B84406"/>
    <w:rsid w:val="00B8588B"/>
    <w:rsid w:val="00B86D66"/>
    <w:rsid w:val="00B876E7"/>
    <w:rsid w:val="00B92D4E"/>
    <w:rsid w:val="00B93406"/>
    <w:rsid w:val="00B949C8"/>
    <w:rsid w:val="00BA0E6F"/>
    <w:rsid w:val="00BA1074"/>
    <w:rsid w:val="00BA385D"/>
    <w:rsid w:val="00BB3AB7"/>
    <w:rsid w:val="00BB77BA"/>
    <w:rsid w:val="00BC75F6"/>
    <w:rsid w:val="00BD2CF5"/>
    <w:rsid w:val="00BD2F94"/>
    <w:rsid w:val="00BD3B30"/>
    <w:rsid w:val="00BD4A81"/>
    <w:rsid w:val="00BD7D8B"/>
    <w:rsid w:val="00BE0411"/>
    <w:rsid w:val="00BE052E"/>
    <w:rsid w:val="00BE6C6D"/>
    <w:rsid w:val="00BF2C68"/>
    <w:rsid w:val="00BF345E"/>
    <w:rsid w:val="00C01665"/>
    <w:rsid w:val="00C0207D"/>
    <w:rsid w:val="00C04168"/>
    <w:rsid w:val="00C042C7"/>
    <w:rsid w:val="00C045D2"/>
    <w:rsid w:val="00C05488"/>
    <w:rsid w:val="00C10CA3"/>
    <w:rsid w:val="00C1367B"/>
    <w:rsid w:val="00C13FA7"/>
    <w:rsid w:val="00C170ED"/>
    <w:rsid w:val="00C21B6C"/>
    <w:rsid w:val="00C22031"/>
    <w:rsid w:val="00C26D2B"/>
    <w:rsid w:val="00C3282B"/>
    <w:rsid w:val="00C40145"/>
    <w:rsid w:val="00C40556"/>
    <w:rsid w:val="00C44636"/>
    <w:rsid w:val="00C52909"/>
    <w:rsid w:val="00C5428A"/>
    <w:rsid w:val="00C56C4C"/>
    <w:rsid w:val="00C612D6"/>
    <w:rsid w:val="00C612F5"/>
    <w:rsid w:val="00C618BF"/>
    <w:rsid w:val="00C64350"/>
    <w:rsid w:val="00C73655"/>
    <w:rsid w:val="00C75D40"/>
    <w:rsid w:val="00C769C9"/>
    <w:rsid w:val="00C83A76"/>
    <w:rsid w:val="00C83DA1"/>
    <w:rsid w:val="00C93F91"/>
    <w:rsid w:val="00C94258"/>
    <w:rsid w:val="00C9523E"/>
    <w:rsid w:val="00C95B34"/>
    <w:rsid w:val="00C95F06"/>
    <w:rsid w:val="00CA1732"/>
    <w:rsid w:val="00CA2DFA"/>
    <w:rsid w:val="00CA7E5E"/>
    <w:rsid w:val="00CB09C1"/>
    <w:rsid w:val="00CB1DA6"/>
    <w:rsid w:val="00CB5086"/>
    <w:rsid w:val="00CB6B73"/>
    <w:rsid w:val="00CC1BAC"/>
    <w:rsid w:val="00CC2F8A"/>
    <w:rsid w:val="00CC37F9"/>
    <w:rsid w:val="00CC3908"/>
    <w:rsid w:val="00CC5782"/>
    <w:rsid w:val="00CD0532"/>
    <w:rsid w:val="00CD3C50"/>
    <w:rsid w:val="00CD4C5D"/>
    <w:rsid w:val="00CD7DD1"/>
    <w:rsid w:val="00CE3DFC"/>
    <w:rsid w:val="00CE5596"/>
    <w:rsid w:val="00CF6B23"/>
    <w:rsid w:val="00CF6FA6"/>
    <w:rsid w:val="00D04213"/>
    <w:rsid w:val="00D1078F"/>
    <w:rsid w:val="00D172EB"/>
    <w:rsid w:val="00D30906"/>
    <w:rsid w:val="00D324EB"/>
    <w:rsid w:val="00D327A9"/>
    <w:rsid w:val="00D3500F"/>
    <w:rsid w:val="00D44004"/>
    <w:rsid w:val="00D46E89"/>
    <w:rsid w:val="00D5019E"/>
    <w:rsid w:val="00D52515"/>
    <w:rsid w:val="00D52D74"/>
    <w:rsid w:val="00D555A4"/>
    <w:rsid w:val="00D73706"/>
    <w:rsid w:val="00D74C9D"/>
    <w:rsid w:val="00D90D6C"/>
    <w:rsid w:val="00DA0D01"/>
    <w:rsid w:val="00DA2561"/>
    <w:rsid w:val="00DA67C6"/>
    <w:rsid w:val="00DA7454"/>
    <w:rsid w:val="00DA7B6B"/>
    <w:rsid w:val="00DB3198"/>
    <w:rsid w:val="00DB6773"/>
    <w:rsid w:val="00DC4CD4"/>
    <w:rsid w:val="00DD64C0"/>
    <w:rsid w:val="00DE11B2"/>
    <w:rsid w:val="00DE45FB"/>
    <w:rsid w:val="00DE5CF6"/>
    <w:rsid w:val="00DE6018"/>
    <w:rsid w:val="00DE7BDC"/>
    <w:rsid w:val="00DF2670"/>
    <w:rsid w:val="00DF72E5"/>
    <w:rsid w:val="00DF735B"/>
    <w:rsid w:val="00E03E41"/>
    <w:rsid w:val="00E04FE9"/>
    <w:rsid w:val="00E10739"/>
    <w:rsid w:val="00E21168"/>
    <w:rsid w:val="00E21EE8"/>
    <w:rsid w:val="00E23A99"/>
    <w:rsid w:val="00E273E7"/>
    <w:rsid w:val="00E30012"/>
    <w:rsid w:val="00E30D73"/>
    <w:rsid w:val="00E32A3E"/>
    <w:rsid w:val="00E33467"/>
    <w:rsid w:val="00E34CB9"/>
    <w:rsid w:val="00E355D8"/>
    <w:rsid w:val="00E3691F"/>
    <w:rsid w:val="00E406B1"/>
    <w:rsid w:val="00E44776"/>
    <w:rsid w:val="00E44D19"/>
    <w:rsid w:val="00E519E0"/>
    <w:rsid w:val="00E542C4"/>
    <w:rsid w:val="00E60CE2"/>
    <w:rsid w:val="00E60EA3"/>
    <w:rsid w:val="00E61305"/>
    <w:rsid w:val="00E620C7"/>
    <w:rsid w:val="00E73998"/>
    <w:rsid w:val="00E84434"/>
    <w:rsid w:val="00E863EB"/>
    <w:rsid w:val="00E9419C"/>
    <w:rsid w:val="00E9623A"/>
    <w:rsid w:val="00EA0EF8"/>
    <w:rsid w:val="00EA4D64"/>
    <w:rsid w:val="00EA6F85"/>
    <w:rsid w:val="00EB300C"/>
    <w:rsid w:val="00EB5CBE"/>
    <w:rsid w:val="00EB5F90"/>
    <w:rsid w:val="00EB7189"/>
    <w:rsid w:val="00EC1C61"/>
    <w:rsid w:val="00EC2CDE"/>
    <w:rsid w:val="00EC4BF0"/>
    <w:rsid w:val="00EC4C3C"/>
    <w:rsid w:val="00EC4CED"/>
    <w:rsid w:val="00EC5640"/>
    <w:rsid w:val="00ED0EEB"/>
    <w:rsid w:val="00ED14DF"/>
    <w:rsid w:val="00ED2E19"/>
    <w:rsid w:val="00ED3C21"/>
    <w:rsid w:val="00ED6250"/>
    <w:rsid w:val="00ED6660"/>
    <w:rsid w:val="00ED7D23"/>
    <w:rsid w:val="00EE5600"/>
    <w:rsid w:val="00EE693B"/>
    <w:rsid w:val="00EF18E8"/>
    <w:rsid w:val="00EF1FDC"/>
    <w:rsid w:val="00EF7125"/>
    <w:rsid w:val="00F001E4"/>
    <w:rsid w:val="00F02608"/>
    <w:rsid w:val="00F0793A"/>
    <w:rsid w:val="00F260C7"/>
    <w:rsid w:val="00F3031D"/>
    <w:rsid w:val="00F31074"/>
    <w:rsid w:val="00F41061"/>
    <w:rsid w:val="00F42C47"/>
    <w:rsid w:val="00F432E9"/>
    <w:rsid w:val="00F61AEE"/>
    <w:rsid w:val="00F65931"/>
    <w:rsid w:val="00F65A44"/>
    <w:rsid w:val="00F67BAC"/>
    <w:rsid w:val="00F715F2"/>
    <w:rsid w:val="00F745A2"/>
    <w:rsid w:val="00F74CCF"/>
    <w:rsid w:val="00F7569D"/>
    <w:rsid w:val="00F75F74"/>
    <w:rsid w:val="00F82809"/>
    <w:rsid w:val="00F860AC"/>
    <w:rsid w:val="00F90A54"/>
    <w:rsid w:val="00F920EE"/>
    <w:rsid w:val="00F932C4"/>
    <w:rsid w:val="00F93E02"/>
    <w:rsid w:val="00FA5461"/>
    <w:rsid w:val="00FA5881"/>
    <w:rsid w:val="00FA5DBE"/>
    <w:rsid w:val="00FB743D"/>
    <w:rsid w:val="00FB7C22"/>
    <w:rsid w:val="00FC4E1A"/>
    <w:rsid w:val="00FC5E67"/>
    <w:rsid w:val="00FD4163"/>
    <w:rsid w:val="00FD54EE"/>
    <w:rsid w:val="00FD555E"/>
    <w:rsid w:val="00FD64D5"/>
    <w:rsid w:val="00FE1DBF"/>
    <w:rsid w:val="00FE49DE"/>
    <w:rsid w:val="00FE49E4"/>
    <w:rsid w:val="00FE561E"/>
    <w:rsid w:val="00FF00CA"/>
    <w:rsid w:val="00FF187D"/>
    <w:rsid w:val="00FF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091">
      <w:bodyDiv w:val="1"/>
      <w:marLeft w:val="0"/>
      <w:marRight w:val="0"/>
      <w:marTop w:val="0"/>
      <w:marBottom w:val="0"/>
      <w:divBdr>
        <w:top w:val="none" w:sz="0" w:space="0" w:color="auto"/>
        <w:left w:val="none" w:sz="0" w:space="0" w:color="auto"/>
        <w:bottom w:val="none" w:sz="0" w:space="0" w:color="auto"/>
        <w:right w:val="none" w:sz="0" w:space="0" w:color="auto"/>
      </w:divBdr>
    </w:div>
    <w:div w:id="101807062">
      <w:bodyDiv w:val="1"/>
      <w:marLeft w:val="0"/>
      <w:marRight w:val="0"/>
      <w:marTop w:val="0"/>
      <w:marBottom w:val="0"/>
      <w:divBdr>
        <w:top w:val="none" w:sz="0" w:space="0" w:color="auto"/>
        <w:left w:val="none" w:sz="0" w:space="0" w:color="auto"/>
        <w:bottom w:val="none" w:sz="0" w:space="0" w:color="auto"/>
        <w:right w:val="none" w:sz="0" w:space="0" w:color="auto"/>
      </w:divBdr>
    </w:div>
    <w:div w:id="130514847">
      <w:bodyDiv w:val="1"/>
      <w:marLeft w:val="0"/>
      <w:marRight w:val="0"/>
      <w:marTop w:val="0"/>
      <w:marBottom w:val="0"/>
      <w:divBdr>
        <w:top w:val="none" w:sz="0" w:space="0" w:color="auto"/>
        <w:left w:val="none" w:sz="0" w:space="0" w:color="auto"/>
        <w:bottom w:val="none" w:sz="0" w:space="0" w:color="auto"/>
        <w:right w:val="none" w:sz="0" w:space="0" w:color="auto"/>
      </w:divBdr>
    </w:div>
    <w:div w:id="220219688">
      <w:bodyDiv w:val="1"/>
      <w:marLeft w:val="0"/>
      <w:marRight w:val="0"/>
      <w:marTop w:val="0"/>
      <w:marBottom w:val="0"/>
      <w:divBdr>
        <w:top w:val="none" w:sz="0" w:space="0" w:color="auto"/>
        <w:left w:val="none" w:sz="0" w:space="0" w:color="auto"/>
        <w:bottom w:val="none" w:sz="0" w:space="0" w:color="auto"/>
        <w:right w:val="none" w:sz="0" w:space="0" w:color="auto"/>
      </w:divBdr>
    </w:div>
    <w:div w:id="284846750">
      <w:bodyDiv w:val="1"/>
      <w:marLeft w:val="0"/>
      <w:marRight w:val="0"/>
      <w:marTop w:val="0"/>
      <w:marBottom w:val="0"/>
      <w:divBdr>
        <w:top w:val="none" w:sz="0" w:space="0" w:color="auto"/>
        <w:left w:val="none" w:sz="0" w:space="0" w:color="auto"/>
        <w:bottom w:val="none" w:sz="0" w:space="0" w:color="auto"/>
        <w:right w:val="none" w:sz="0" w:space="0" w:color="auto"/>
      </w:divBdr>
    </w:div>
    <w:div w:id="321273747">
      <w:bodyDiv w:val="1"/>
      <w:marLeft w:val="0"/>
      <w:marRight w:val="0"/>
      <w:marTop w:val="0"/>
      <w:marBottom w:val="0"/>
      <w:divBdr>
        <w:top w:val="none" w:sz="0" w:space="0" w:color="auto"/>
        <w:left w:val="none" w:sz="0" w:space="0" w:color="auto"/>
        <w:bottom w:val="none" w:sz="0" w:space="0" w:color="auto"/>
        <w:right w:val="none" w:sz="0" w:space="0" w:color="auto"/>
      </w:divBdr>
    </w:div>
    <w:div w:id="688068561">
      <w:bodyDiv w:val="1"/>
      <w:marLeft w:val="0"/>
      <w:marRight w:val="0"/>
      <w:marTop w:val="0"/>
      <w:marBottom w:val="0"/>
      <w:divBdr>
        <w:top w:val="none" w:sz="0" w:space="0" w:color="auto"/>
        <w:left w:val="none" w:sz="0" w:space="0" w:color="auto"/>
        <w:bottom w:val="none" w:sz="0" w:space="0" w:color="auto"/>
        <w:right w:val="none" w:sz="0" w:space="0" w:color="auto"/>
      </w:divBdr>
    </w:div>
    <w:div w:id="777526908">
      <w:bodyDiv w:val="1"/>
      <w:marLeft w:val="0"/>
      <w:marRight w:val="0"/>
      <w:marTop w:val="0"/>
      <w:marBottom w:val="0"/>
      <w:divBdr>
        <w:top w:val="none" w:sz="0" w:space="0" w:color="auto"/>
        <w:left w:val="none" w:sz="0" w:space="0" w:color="auto"/>
        <w:bottom w:val="none" w:sz="0" w:space="0" w:color="auto"/>
        <w:right w:val="none" w:sz="0" w:space="0" w:color="auto"/>
      </w:divBdr>
    </w:div>
    <w:div w:id="877158026">
      <w:bodyDiv w:val="1"/>
      <w:marLeft w:val="0"/>
      <w:marRight w:val="0"/>
      <w:marTop w:val="0"/>
      <w:marBottom w:val="0"/>
      <w:divBdr>
        <w:top w:val="none" w:sz="0" w:space="0" w:color="auto"/>
        <w:left w:val="none" w:sz="0" w:space="0" w:color="auto"/>
        <w:bottom w:val="none" w:sz="0" w:space="0" w:color="auto"/>
        <w:right w:val="none" w:sz="0" w:space="0" w:color="auto"/>
      </w:divBdr>
    </w:div>
    <w:div w:id="922639725">
      <w:bodyDiv w:val="1"/>
      <w:marLeft w:val="0"/>
      <w:marRight w:val="0"/>
      <w:marTop w:val="0"/>
      <w:marBottom w:val="0"/>
      <w:divBdr>
        <w:top w:val="none" w:sz="0" w:space="0" w:color="auto"/>
        <w:left w:val="none" w:sz="0" w:space="0" w:color="auto"/>
        <w:bottom w:val="none" w:sz="0" w:space="0" w:color="auto"/>
        <w:right w:val="none" w:sz="0" w:space="0" w:color="auto"/>
      </w:divBdr>
    </w:div>
    <w:div w:id="974602867">
      <w:bodyDiv w:val="1"/>
      <w:marLeft w:val="0"/>
      <w:marRight w:val="0"/>
      <w:marTop w:val="0"/>
      <w:marBottom w:val="0"/>
      <w:divBdr>
        <w:top w:val="none" w:sz="0" w:space="0" w:color="auto"/>
        <w:left w:val="none" w:sz="0" w:space="0" w:color="auto"/>
        <w:bottom w:val="none" w:sz="0" w:space="0" w:color="auto"/>
        <w:right w:val="none" w:sz="0" w:space="0" w:color="auto"/>
      </w:divBdr>
    </w:div>
    <w:div w:id="981931627">
      <w:bodyDiv w:val="1"/>
      <w:marLeft w:val="0"/>
      <w:marRight w:val="0"/>
      <w:marTop w:val="0"/>
      <w:marBottom w:val="0"/>
      <w:divBdr>
        <w:top w:val="none" w:sz="0" w:space="0" w:color="auto"/>
        <w:left w:val="none" w:sz="0" w:space="0" w:color="auto"/>
        <w:bottom w:val="none" w:sz="0" w:space="0" w:color="auto"/>
        <w:right w:val="none" w:sz="0" w:space="0" w:color="auto"/>
      </w:divBdr>
    </w:div>
    <w:div w:id="988753568">
      <w:bodyDiv w:val="1"/>
      <w:marLeft w:val="0"/>
      <w:marRight w:val="0"/>
      <w:marTop w:val="0"/>
      <w:marBottom w:val="0"/>
      <w:divBdr>
        <w:top w:val="none" w:sz="0" w:space="0" w:color="auto"/>
        <w:left w:val="none" w:sz="0" w:space="0" w:color="auto"/>
        <w:bottom w:val="none" w:sz="0" w:space="0" w:color="auto"/>
        <w:right w:val="none" w:sz="0" w:space="0" w:color="auto"/>
      </w:divBdr>
    </w:div>
    <w:div w:id="1047879608">
      <w:bodyDiv w:val="1"/>
      <w:marLeft w:val="0"/>
      <w:marRight w:val="0"/>
      <w:marTop w:val="0"/>
      <w:marBottom w:val="0"/>
      <w:divBdr>
        <w:top w:val="none" w:sz="0" w:space="0" w:color="auto"/>
        <w:left w:val="none" w:sz="0" w:space="0" w:color="auto"/>
        <w:bottom w:val="none" w:sz="0" w:space="0" w:color="auto"/>
        <w:right w:val="none" w:sz="0" w:space="0" w:color="auto"/>
      </w:divBdr>
    </w:div>
    <w:div w:id="1052773561">
      <w:bodyDiv w:val="1"/>
      <w:marLeft w:val="0"/>
      <w:marRight w:val="0"/>
      <w:marTop w:val="0"/>
      <w:marBottom w:val="0"/>
      <w:divBdr>
        <w:top w:val="none" w:sz="0" w:space="0" w:color="auto"/>
        <w:left w:val="none" w:sz="0" w:space="0" w:color="auto"/>
        <w:bottom w:val="none" w:sz="0" w:space="0" w:color="auto"/>
        <w:right w:val="none" w:sz="0" w:space="0" w:color="auto"/>
      </w:divBdr>
    </w:div>
    <w:div w:id="1122306137">
      <w:bodyDiv w:val="1"/>
      <w:marLeft w:val="0"/>
      <w:marRight w:val="0"/>
      <w:marTop w:val="0"/>
      <w:marBottom w:val="0"/>
      <w:divBdr>
        <w:top w:val="none" w:sz="0" w:space="0" w:color="auto"/>
        <w:left w:val="none" w:sz="0" w:space="0" w:color="auto"/>
        <w:bottom w:val="none" w:sz="0" w:space="0" w:color="auto"/>
        <w:right w:val="none" w:sz="0" w:space="0" w:color="auto"/>
      </w:divBdr>
    </w:div>
    <w:div w:id="1184170107">
      <w:bodyDiv w:val="1"/>
      <w:marLeft w:val="0"/>
      <w:marRight w:val="0"/>
      <w:marTop w:val="0"/>
      <w:marBottom w:val="0"/>
      <w:divBdr>
        <w:top w:val="none" w:sz="0" w:space="0" w:color="auto"/>
        <w:left w:val="none" w:sz="0" w:space="0" w:color="auto"/>
        <w:bottom w:val="none" w:sz="0" w:space="0" w:color="auto"/>
        <w:right w:val="none" w:sz="0" w:space="0" w:color="auto"/>
      </w:divBdr>
    </w:div>
    <w:div w:id="1381202877">
      <w:bodyDiv w:val="1"/>
      <w:marLeft w:val="0"/>
      <w:marRight w:val="0"/>
      <w:marTop w:val="0"/>
      <w:marBottom w:val="0"/>
      <w:divBdr>
        <w:top w:val="none" w:sz="0" w:space="0" w:color="auto"/>
        <w:left w:val="none" w:sz="0" w:space="0" w:color="auto"/>
        <w:bottom w:val="none" w:sz="0" w:space="0" w:color="auto"/>
        <w:right w:val="none" w:sz="0" w:space="0" w:color="auto"/>
      </w:divBdr>
    </w:div>
    <w:div w:id="1384868133">
      <w:bodyDiv w:val="1"/>
      <w:marLeft w:val="0"/>
      <w:marRight w:val="0"/>
      <w:marTop w:val="0"/>
      <w:marBottom w:val="0"/>
      <w:divBdr>
        <w:top w:val="none" w:sz="0" w:space="0" w:color="auto"/>
        <w:left w:val="none" w:sz="0" w:space="0" w:color="auto"/>
        <w:bottom w:val="none" w:sz="0" w:space="0" w:color="auto"/>
        <w:right w:val="none" w:sz="0" w:space="0" w:color="auto"/>
      </w:divBdr>
    </w:div>
    <w:div w:id="1438410084">
      <w:bodyDiv w:val="1"/>
      <w:marLeft w:val="0"/>
      <w:marRight w:val="0"/>
      <w:marTop w:val="0"/>
      <w:marBottom w:val="0"/>
      <w:divBdr>
        <w:top w:val="none" w:sz="0" w:space="0" w:color="auto"/>
        <w:left w:val="none" w:sz="0" w:space="0" w:color="auto"/>
        <w:bottom w:val="none" w:sz="0" w:space="0" w:color="auto"/>
        <w:right w:val="none" w:sz="0" w:space="0" w:color="auto"/>
      </w:divBdr>
    </w:div>
    <w:div w:id="1519270096">
      <w:bodyDiv w:val="1"/>
      <w:marLeft w:val="0"/>
      <w:marRight w:val="0"/>
      <w:marTop w:val="0"/>
      <w:marBottom w:val="0"/>
      <w:divBdr>
        <w:top w:val="none" w:sz="0" w:space="0" w:color="auto"/>
        <w:left w:val="none" w:sz="0" w:space="0" w:color="auto"/>
        <w:bottom w:val="none" w:sz="0" w:space="0" w:color="auto"/>
        <w:right w:val="none" w:sz="0" w:space="0" w:color="auto"/>
      </w:divBdr>
    </w:div>
    <w:div w:id="1591617935">
      <w:bodyDiv w:val="1"/>
      <w:marLeft w:val="0"/>
      <w:marRight w:val="0"/>
      <w:marTop w:val="0"/>
      <w:marBottom w:val="0"/>
      <w:divBdr>
        <w:top w:val="none" w:sz="0" w:space="0" w:color="auto"/>
        <w:left w:val="none" w:sz="0" w:space="0" w:color="auto"/>
        <w:bottom w:val="none" w:sz="0" w:space="0" w:color="auto"/>
        <w:right w:val="none" w:sz="0" w:space="0" w:color="auto"/>
      </w:divBdr>
    </w:div>
    <w:div w:id="1616592099">
      <w:bodyDiv w:val="1"/>
      <w:marLeft w:val="0"/>
      <w:marRight w:val="0"/>
      <w:marTop w:val="0"/>
      <w:marBottom w:val="0"/>
      <w:divBdr>
        <w:top w:val="none" w:sz="0" w:space="0" w:color="auto"/>
        <w:left w:val="none" w:sz="0" w:space="0" w:color="auto"/>
        <w:bottom w:val="none" w:sz="0" w:space="0" w:color="auto"/>
        <w:right w:val="none" w:sz="0" w:space="0" w:color="auto"/>
      </w:divBdr>
    </w:div>
    <w:div w:id="1642533770">
      <w:bodyDiv w:val="1"/>
      <w:marLeft w:val="0"/>
      <w:marRight w:val="0"/>
      <w:marTop w:val="0"/>
      <w:marBottom w:val="0"/>
      <w:divBdr>
        <w:top w:val="none" w:sz="0" w:space="0" w:color="auto"/>
        <w:left w:val="none" w:sz="0" w:space="0" w:color="auto"/>
        <w:bottom w:val="none" w:sz="0" w:space="0" w:color="auto"/>
        <w:right w:val="none" w:sz="0" w:space="0" w:color="auto"/>
      </w:divBdr>
    </w:div>
    <w:div w:id="1681009050">
      <w:bodyDiv w:val="1"/>
      <w:marLeft w:val="0"/>
      <w:marRight w:val="0"/>
      <w:marTop w:val="0"/>
      <w:marBottom w:val="0"/>
      <w:divBdr>
        <w:top w:val="none" w:sz="0" w:space="0" w:color="auto"/>
        <w:left w:val="none" w:sz="0" w:space="0" w:color="auto"/>
        <w:bottom w:val="none" w:sz="0" w:space="0" w:color="auto"/>
        <w:right w:val="none" w:sz="0" w:space="0" w:color="auto"/>
      </w:divBdr>
    </w:div>
    <w:div w:id="1857957001">
      <w:bodyDiv w:val="1"/>
      <w:marLeft w:val="0"/>
      <w:marRight w:val="0"/>
      <w:marTop w:val="0"/>
      <w:marBottom w:val="0"/>
      <w:divBdr>
        <w:top w:val="none" w:sz="0" w:space="0" w:color="auto"/>
        <w:left w:val="none" w:sz="0" w:space="0" w:color="auto"/>
        <w:bottom w:val="none" w:sz="0" w:space="0" w:color="auto"/>
        <w:right w:val="none" w:sz="0" w:space="0" w:color="auto"/>
      </w:divBdr>
    </w:div>
    <w:div w:id="1892034924">
      <w:bodyDiv w:val="1"/>
      <w:marLeft w:val="0"/>
      <w:marRight w:val="0"/>
      <w:marTop w:val="0"/>
      <w:marBottom w:val="0"/>
      <w:divBdr>
        <w:top w:val="none" w:sz="0" w:space="0" w:color="auto"/>
        <w:left w:val="none" w:sz="0" w:space="0" w:color="auto"/>
        <w:bottom w:val="none" w:sz="0" w:space="0" w:color="auto"/>
        <w:right w:val="none" w:sz="0" w:space="0" w:color="auto"/>
      </w:divBdr>
    </w:div>
    <w:div w:id="1905872066">
      <w:bodyDiv w:val="1"/>
      <w:marLeft w:val="0"/>
      <w:marRight w:val="0"/>
      <w:marTop w:val="0"/>
      <w:marBottom w:val="0"/>
      <w:divBdr>
        <w:top w:val="none" w:sz="0" w:space="0" w:color="auto"/>
        <w:left w:val="none" w:sz="0" w:space="0" w:color="auto"/>
        <w:bottom w:val="none" w:sz="0" w:space="0" w:color="auto"/>
        <w:right w:val="none" w:sz="0" w:space="0" w:color="auto"/>
      </w:divBdr>
    </w:div>
    <w:div w:id="1926647272">
      <w:bodyDiv w:val="1"/>
      <w:marLeft w:val="0"/>
      <w:marRight w:val="0"/>
      <w:marTop w:val="0"/>
      <w:marBottom w:val="0"/>
      <w:divBdr>
        <w:top w:val="none" w:sz="0" w:space="0" w:color="auto"/>
        <w:left w:val="none" w:sz="0" w:space="0" w:color="auto"/>
        <w:bottom w:val="none" w:sz="0" w:space="0" w:color="auto"/>
        <w:right w:val="none" w:sz="0" w:space="0" w:color="auto"/>
      </w:divBdr>
    </w:div>
    <w:div w:id="1960606328">
      <w:bodyDiv w:val="1"/>
      <w:marLeft w:val="0"/>
      <w:marRight w:val="0"/>
      <w:marTop w:val="0"/>
      <w:marBottom w:val="0"/>
      <w:divBdr>
        <w:top w:val="none" w:sz="0" w:space="0" w:color="auto"/>
        <w:left w:val="none" w:sz="0" w:space="0" w:color="auto"/>
        <w:bottom w:val="none" w:sz="0" w:space="0" w:color="auto"/>
        <w:right w:val="none" w:sz="0" w:space="0" w:color="auto"/>
      </w:divBdr>
    </w:div>
    <w:div w:id="2072148616">
      <w:bodyDiv w:val="1"/>
      <w:marLeft w:val="0"/>
      <w:marRight w:val="0"/>
      <w:marTop w:val="0"/>
      <w:marBottom w:val="0"/>
      <w:divBdr>
        <w:top w:val="none" w:sz="0" w:space="0" w:color="auto"/>
        <w:left w:val="none" w:sz="0" w:space="0" w:color="auto"/>
        <w:bottom w:val="none" w:sz="0" w:space="0" w:color="auto"/>
        <w:right w:val="none" w:sz="0" w:space="0" w:color="auto"/>
      </w:divBdr>
    </w:div>
    <w:div w:id="2113623469">
      <w:bodyDiv w:val="1"/>
      <w:marLeft w:val="0"/>
      <w:marRight w:val="0"/>
      <w:marTop w:val="0"/>
      <w:marBottom w:val="0"/>
      <w:divBdr>
        <w:top w:val="none" w:sz="0" w:space="0" w:color="auto"/>
        <w:left w:val="none" w:sz="0" w:space="0" w:color="auto"/>
        <w:bottom w:val="none" w:sz="0" w:space="0" w:color="auto"/>
        <w:right w:val="none" w:sz="0" w:space="0" w:color="auto"/>
      </w:divBdr>
    </w:div>
    <w:div w:id="21359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kennedy@ox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340A4-2DCE-4964-B72A-FA366DD3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F645E35A</Template>
  <TotalTime>0</TotalTime>
  <Pages>5</Pages>
  <Words>1425</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OCC</Company>
  <LinksUpToDate>false</LinksUpToDate>
  <CharactersWithSpaces>9255</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nkennedy</dc:creator>
  <cp:lastModifiedBy>catherine.phythian</cp:lastModifiedBy>
  <cp:revision>2</cp:revision>
  <cp:lastPrinted>2015-08-10T13:07:00Z</cp:lastPrinted>
  <dcterms:created xsi:type="dcterms:W3CDTF">2015-12-09T14:49:00Z</dcterms:created>
  <dcterms:modified xsi:type="dcterms:W3CDTF">2015-12-09T14:49:00Z</dcterms:modified>
</cp:coreProperties>
</file>